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8"/>
        <w:gridCol w:w="284"/>
        <w:gridCol w:w="1417"/>
        <w:gridCol w:w="1702"/>
      </w:tblGrid>
      <w:tr w:rsidR="00DD7BEE" w:rsidRPr="00DD7BEE" w:rsidTr="00C33825">
        <w:trPr>
          <w:gridAfter w:val="1"/>
          <w:wAfter w:w="1702" w:type="dxa"/>
        </w:trPr>
        <w:tc>
          <w:tcPr>
            <w:tcW w:w="2197" w:type="dxa"/>
          </w:tcPr>
          <w:p w:rsidR="00DD7BEE" w:rsidRPr="00DD7BEE" w:rsidRDefault="00DD7BEE" w:rsidP="00DD7BEE">
            <w:pPr>
              <w:widowControl w:val="0"/>
              <w:autoSpaceDE w:val="0"/>
              <w:ind w:right="356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proofErr w:type="spellStart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>Администрация</w:t>
            </w:r>
            <w:proofErr w:type="spellEnd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 xml:space="preserve">  </w:t>
            </w:r>
          </w:p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proofErr w:type="spellStart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>Гагаринского</w:t>
            </w:r>
            <w:proofErr w:type="spellEnd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 xml:space="preserve"> </w:t>
            </w:r>
            <w:proofErr w:type="spellStart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>сельского</w:t>
            </w:r>
            <w:proofErr w:type="spellEnd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 xml:space="preserve"> </w:t>
            </w:r>
            <w:proofErr w:type="spellStart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>поселения</w:t>
            </w:r>
            <w:proofErr w:type="spellEnd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 xml:space="preserve">  </w:t>
            </w:r>
          </w:p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proofErr w:type="spellStart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>Морозовского</w:t>
            </w:r>
            <w:proofErr w:type="spellEnd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 xml:space="preserve">  </w:t>
            </w:r>
            <w:proofErr w:type="spellStart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>района</w:t>
            </w:r>
            <w:proofErr w:type="spellEnd"/>
          </w:p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proofErr w:type="spellStart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>Ростовской</w:t>
            </w:r>
            <w:proofErr w:type="spellEnd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 xml:space="preserve"> </w:t>
            </w:r>
            <w:proofErr w:type="spellStart"/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  <w:t>области</w:t>
            </w:r>
            <w:proofErr w:type="spellEnd"/>
          </w:p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</w:p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40"/>
                <w:szCs w:val="40"/>
                <w:lang w:val="de-DE" w:eastAsia="ja-JP" w:bidi="fa-IR"/>
              </w:rPr>
            </w:pPr>
            <w:r w:rsidRPr="00DD7BEE"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40"/>
                <w:szCs w:val="40"/>
                <w:lang w:val="de-DE" w:eastAsia="ja-JP" w:bidi="fa-IR"/>
              </w:rPr>
              <w:t>ПОСТАНОВЛЕНИЕ</w:t>
            </w:r>
          </w:p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4" w:type="dxa"/>
          </w:tcPr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</w:tcPr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D7BEE" w:rsidRPr="00DD7BEE" w:rsidTr="00C33825">
        <w:tc>
          <w:tcPr>
            <w:tcW w:w="7725" w:type="dxa"/>
            <w:gridSpan w:val="2"/>
          </w:tcPr>
          <w:p w:rsidR="00DD7BEE" w:rsidRPr="00DD7BEE" w:rsidRDefault="00EF47A7" w:rsidP="00DD7BEE">
            <w:pPr>
              <w:widowControl w:val="0"/>
              <w:autoSpaceDE w:val="0"/>
              <w:rPr>
                <w:rFonts w:ascii="Arial" w:eastAsia="Times New Roman" w:hAnsi="Arial" w:cs="Arial"/>
                <w:sz w:val="28"/>
                <w:szCs w:val="18"/>
                <w:u w:val="single"/>
                <w:lang w:eastAsia="ar-SA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  <w:t xml:space="preserve">26 июня </w:t>
            </w:r>
            <w:r w:rsidR="00DD7BEE" w:rsidRPr="00DD7BEE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ar-SA"/>
              </w:rPr>
              <w:t>2013года</w:t>
            </w:r>
          </w:p>
        </w:tc>
        <w:tc>
          <w:tcPr>
            <w:tcW w:w="1701" w:type="dxa"/>
            <w:gridSpan w:val="2"/>
          </w:tcPr>
          <w:p w:rsidR="00DD7BEE" w:rsidRPr="00DD7BEE" w:rsidRDefault="00DD7BEE" w:rsidP="00DD7BEE">
            <w:pPr>
              <w:widowControl w:val="0"/>
              <w:suppressAutoHyphens/>
              <w:autoSpaceDE w:val="0"/>
              <w:autoSpaceDN w:val="0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val="de-DE" w:eastAsia="ja-JP" w:bidi="fa-IR"/>
              </w:rPr>
            </w:pPr>
            <w:r w:rsidRPr="00DD7BEE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val="de-DE" w:eastAsia="ja-JP" w:bidi="fa-IR"/>
              </w:rPr>
              <w:t xml:space="preserve">   </w:t>
            </w:r>
          </w:p>
        </w:tc>
        <w:tc>
          <w:tcPr>
            <w:tcW w:w="1702" w:type="dxa"/>
          </w:tcPr>
          <w:p w:rsidR="00DD7BEE" w:rsidRPr="00DD7BEE" w:rsidRDefault="00DD7BEE" w:rsidP="00753A4C">
            <w:pPr>
              <w:widowControl w:val="0"/>
              <w:suppressAutoHyphens/>
              <w:autoSpaceDE w:val="0"/>
              <w:autoSpaceDN w:val="0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DD7BEE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u w:val="single"/>
                <w:lang w:val="de-DE" w:eastAsia="ja-JP" w:bidi="fa-IR"/>
              </w:rPr>
              <w:t>№</w:t>
            </w:r>
            <w:r w:rsidR="00EF47A7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u w:val="single"/>
                <w:lang w:eastAsia="ja-JP" w:bidi="fa-IR"/>
              </w:rPr>
              <w:t xml:space="preserve"> 41</w:t>
            </w:r>
            <w:r w:rsidRPr="00DD7BEE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u w:val="single"/>
                <w:lang w:val="de-DE" w:eastAsia="ja-JP" w:bidi="fa-IR"/>
              </w:rPr>
              <w:t xml:space="preserve">  </w:t>
            </w:r>
          </w:p>
        </w:tc>
      </w:tr>
    </w:tbl>
    <w:p w:rsidR="00DD7BEE" w:rsidRPr="00DD7BEE" w:rsidRDefault="00DD7BEE" w:rsidP="00DD7BEE">
      <w:pPr>
        <w:widowControl w:val="0"/>
        <w:autoSpaceDE w:val="0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136"/>
      </w:tblGrid>
      <w:tr w:rsidR="00DD7BEE" w:rsidRPr="00DD7BEE" w:rsidTr="00C33825">
        <w:tc>
          <w:tcPr>
            <w:tcW w:w="5718" w:type="dxa"/>
          </w:tcPr>
          <w:p w:rsidR="00DD7BEE" w:rsidRPr="00DD7BEE" w:rsidRDefault="00DD7BEE" w:rsidP="00DD7BEE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Гагаринского сельского поселения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DD7BEE" w:rsidRPr="00DD7BEE" w:rsidRDefault="00DD7BEE" w:rsidP="00DD7BEE">
            <w:pPr>
              <w:widowControl w:val="0"/>
              <w:autoSpaceDE w:val="0"/>
              <w:rPr>
                <w:rFonts w:ascii="Arial" w:eastAsia="Times New Roman" w:hAnsi="Arial" w:cs="Arial"/>
                <w:sz w:val="28"/>
                <w:szCs w:val="18"/>
                <w:lang w:eastAsia="ar-SA"/>
              </w:rPr>
            </w:pPr>
            <w:bookmarkStart w:id="0" w:name="_GoBack"/>
            <w:bookmarkEnd w:id="0"/>
          </w:p>
        </w:tc>
      </w:tr>
    </w:tbl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753A4C">
      <w:pPr>
        <w:pStyle w:val="ab"/>
        <w:widowControl w:val="0"/>
        <w:spacing w:after="0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527067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27067" w:rsidRPr="00CB1B40" w:rsidRDefault="00527067" w:rsidP="00753A4C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r w:rsidR="00DD7BEE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527067" w:rsidRDefault="00527067" w:rsidP="0055048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>2. </w:t>
      </w:r>
      <w:r w:rsidR="00753A4C" w:rsidRPr="009955DF">
        <w:rPr>
          <w:rFonts w:ascii="Times New Roman" w:hAnsi="Times New Roman"/>
          <w:sz w:val="28"/>
          <w:szCs w:val="28"/>
        </w:rPr>
        <w:t xml:space="preserve">Специалисту 1 категории по общим вопросам </w:t>
      </w:r>
      <w:proofErr w:type="spellStart"/>
      <w:r w:rsidR="00753A4C" w:rsidRPr="009955DF">
        <w:rPr>
          <w:rFonts w:ascii="Times New Roman" w:hAnsi="Times New Roman"/>
          <w:sz w:val="28"/>
          <w:szCs w:val="28"/>
        </w:rPr>
        <w:t>Земцовой</w:t>
      </w:r>
      <w:proofErr w:type="spellEnd"/>
      <w:r w:rsidR="00753A4C" w:rsidRPr="009955DF">
        <w:rPr>
          <w:rFonts w:ascii="Times New Roman" w:hAnsi="Times New Roman"/>
          <w:sz w:val="28"/>
          <w:szCs w:val="28"/>
        </w:rPr>
        <w:t xml:space="preserve"> Л.М.</w:t>
      </w:r>
      <w:r w:rsidR="00753A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1B40">
        <w:rPr>
          <w:rFonts w:ascii="Times New Roman" w:hAnsi="Times New Roman"/>
          <w:sz w:val="28"/>
          <w:szCs w:val="28"/>
        </w:rPr>
        <w:t xml:space="preserve">довести настоящее постановление до сведения работников Администрации </w:t>
      </w:r>
      <w:r w:rsidR="00DD7BEE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527067" w:rsidRDefault="00527067" w:rsidP="00F07FC4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53A4C" w:rsidRPr="009955DF">
        <w:rPr>
          <w:rFonts w:ascii="Times New Roman" w:hAnsi="Times New Roman"/>
          <w:sz w:val="28"/>
          <w:szCs w:val="28"/>
        </w:rPr>
        <w:t xml:space="preserve">Специалисту 1 категории по общим вопросам </w:t>
      </w:r>
      <w:proofErr w:type="spellStart"/>
      <w:r w:rsidR="00753A4C" w:rsidRPr="009955DF">
        <w:rPr>
          <w:rFonts w:ascii="Times New Roman" w:hAnsi="Times New Roman"/>
          <w:sz w:val="28"/>
          <w:szCs w:val="28"/>
        </w:rPr>
        <w:t>Земцовой</w:t>
      </w:r>
      <w:proofErr w:type="spellEnd"/>
      <w:r w:rsidR="00753A4C" w:rsidRPr="009955DF">
        <w:rPr>
          <w:rFonts w:ascii="Times New Roman" w:hAnsi="Times New Roman"/>
          <w:sz w:val="28"/>
          <w:szCs w:val="28"/>
        </w:rPr>
        <w:t xml:space="preserve"> Л.М.</w:t>
      </w:r>
      <w:r w:rsidR="00753A4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r w:rsidR="00DD7BEE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B40"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527067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DD7BEE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  <w:proofErr w:type="gramEnd"/>
    </w:p>
    <w:p w:rsidR="00527067" w:rsidRPr="00343CDD" w:rsidRDefault="00527067" w:rsidP="00753A4C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5. </w:t>
      </w:r>
      <w:proofErr w:type="gramStart"/>
      <w:r w:rsidRPr="00343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CDD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DD7BEE">
        <w:rPr>
          <w:rFonts w:ascii="Times New Roman" w:hAnsi="Times New Roman"/>
          <w:sz w:val="28"/>
          <w:szCs w:val="28"/>
        </w:rPr>
        <w:t>оставляю за собой.</w:t>
      </w:r>
    </w:p>
    <w:p w:rsidR="00527067" w:rsidRPr="005A3756" w:rsidRDefault="00527067" w:rsidP="00753A4C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6. Настоящее постановление вступает</w:t>
      </w:r>
      <w:r w:rsidRPr="00CB1B40">
        <w:rPr>
          <w:rFonts w:ascii="Times New Roman" w:hAnsi="Times New Roman"/>
          <w:sz w:val="28"/>
          <w:szCs w:val="28"/>
        </w:rPr>
        <w:t xml:space="preserve"> в силу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CB1B4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527067" w:rsidRPr="005A3756" w:rsidTr="000B38B0">
        <w:tc>
          <w:tcPr>
            <w:tcW w:w="4248" w:type="dxa"/>
          </w:tcPr>
          <w:p w:rsidR="00E35D68" w:rsidRDefault="00E35D68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06A" w:rsidRDefault="00527067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8B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D7BEE">
              <w:rPr>
                <w:rFonts w:ascii="Times New Roman" w:hAnsi="Times New Roman"/>
                <w:sz w:val="28"/>
                <w:szCs w:val="28"/>
              </w:rPr>
              <w:t xml:space="preserve">Гагаринского </w:t>
            </w:r>
          </w:p>
          <w:p w:rsidR="00527067" w:rsidRPr="000B38B0" w:rsidRDefault="00DD7BEE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F9206A" w:rsidRDefault="00527067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38B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E35D68" w:rsidRDefault="00E35D68" w:rsidP="00F9206A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7067" w:rsidRPr="000B38B0" w:rsidRDefault="00F9206A" w:rsidP="00F9206A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527067" w:rsidRDefault="00527067" w:rsidP="00753A4C">
      <w:pPr>
        <w:rPr>
          <w:sz w:val="20"/>
          <w:szCs w:val="20"/>
        </w:rPr>
      </w:pPr>
    </w:p>
    <w:tbl>
      <w:tblPr>
        <w:tblW w:w="0" w:type="auto"/>
        <w:tblInd w:w="5458" w:type="dxa"/>
        <w:tblLook w:val="04A0" w:firstRow="1" w:lastRow="0" w:firstColumn="1" w:lastColumn="0" w:noHBand="0" w:noVBand="1"/>
      </w:tblPr>
      <w:tblGrid>
        <w:gridCol w:w="1029"/>
        <w:gridCol w:w="3722"/>
      </w:tblGrid>
      <w:tr w:rsidR="00701A61" w:rsidRPr="00701A61" w:rsidTr="00701A61">
        <w:tc>
          <w:tcPr>
            <w:tcW w:w="1029" w:type="dxa"/>
            <w:shd w:val="clear" w:color="auto" w:fill="auto"/>
          </w:tcPr>
          <w:p w:rsidR="00EF47A7" w:rsidRPr="00701A61" w:rsidRDefault="00EF47A7" w:rsidP="0070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EF47A7" w:rsidRPr="00EF47A7" w:rsidRDefault="00EF47A7" w:rsidP="00EF47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7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1 к постановлению Администрации Гагаринского сельского поселения </w:t>
            </w:r>
            <w:r w:rsidRPr="00701A61">
              <w:rPr>
                <w:rFonts w:ascii="Times New Roman" w:hAnsi="Times New Roman"/>
                <w:sz w:val="20"/>
                <w:szCs w:val="20"/>
              </w:rPr>
              <w:t>от 26.06.2013 г.  № 41</w:t>
            </w:r>
          </w:p>
          <w:p w:rsidR="00EF47A7" w:rsidRPr="00701A61" w:rsidRDefault="00EF47A7" w:rsidP="0070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067" w:rsidRPr="00972CBC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D7BEE">
        <w:rPr>
          <w:rFonts w:ascii="Times New Roman" w:hAnsi="Times New Roman"/>
          <w:sz w:val="28"/>
          <w:szCs w:val="28"/>
        </w:rPr>
        <w:t>Гагаринского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</w:t>
      </w:r>
      <w:proofErr w:type="gramStart"/>
      <w:r w:rsidRPr="00C4275F">
        <w:rPr>
          <w:rFonts w:ascii="Times New Roman" w:hAnsi="Times New Roman"/>
          <w:sz w:val="28"/>
          <w:szCs w:val="28"/>
        </w:rPr>
        <w:t>способное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527067" w:rsidRPr="00C4275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527067" w:rsidRPr="002625D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9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527067" w:rsidRPr="00A9665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решений.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в письменной форме </w:t>
      </w:r>
      <w:proofErr w:type="gramStart"/>
      <w:r w:rsidRPr="00C4275F">
        <w:rPr>
          <w:rFonts w:ascii="Times New Roman" w:hAnsi="Times New Roman"/>
          <w:sz w:val="28"/>
          <w:szCs w:val="28"/>
        </w:rPr>
        <w:t>уведомить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527067" w:rsidRPr="00C4275F" w:rsidRDefault="00527067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527067" w:rsidRPr="00C4275F" w:rsidRDefault="00527067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DC2E72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  <w:proofErr w:type="gramEnd"/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Default="00527067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  <w:proofErr w:type="gramEnd"/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C4275F">
        <w:rPr>
          <w:rFonts w:ascii="Times New Roman" w:hAnsi="Times New Roman"/>
          <w:sz w:val="28"/>
          <w:szCs w:val="28"/>
        </w:rPr>
        <w:t>связи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</w:t>
      </w:r>
      <w:proofErr w:type="gramStart"/>
      <w:r w:rsidRPr="00C4275F">
        <w:rPr>
          <w:rFonts w:ascii="Times New Roman" w:hAnsi="Times New Roman"/>
          <w:sz w:val="28"/>
          <w:szCs w:val="28"/>
        </w:rPr>
        <w:t>ств пр</w:t>
      </w:r>
      <w:proofErr w:type="gramEnd"/>
      <w:r w:rsidRPr="00C4275F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0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27067" w:rsidRPr="00972CBC" w:rsidRDefault="00527067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527067" w:rsidRPr="00972CBC" w:rsidSect="002658FF">
      <w:footerReference w:type="defaul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4E" w:rsidRDefault="0052374E">
      <w:r>
        <w:separator/>
      </w:r>
    </w:p>
  </w:endnote>
  <w:endnote w:type="continuationSeparator" w:id="0">
    <w:p w:rsidR="0052374E" w:rsidRDefault="0052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F0546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EBB">
      <w:rPr>
        <w:noProof/>
      </w:rPr>
      <w:t>21</w:t>
    </w:r>
    <w:r>
      <w:rPr>
        <w:noProof/>
      </w:rPr>
      <w:fldChar w:fldCharType="end"/>
    </w:r>
  </w:p>
  <w:p w:rsidR="00527067" w:rsidRDefault="005270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4E" w:rsidRDefault="0052374E">
      <w:r>
        <w:separator/>
      </w:r>
    </w:p>
  </w:footnote>
  <w:footnote w:type="continuationSeparator" w:id="0">
    <w:p w:rsidR="0052374E" w:rsidRDefault="0052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4612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374E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2FAD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6F1822"/>
    <w:rsid w:val="00701A61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A4C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174A"/>
    <w:rsid w:val="00D92A11"/>
    <w:rsid w:val="00D96BC5"/>
    <w:rsid w:val="00DA0930"/>
    <w:rsid w:val="00DA618D"/>
    <w:rsid w:val="00DC2E72"/>
    <w:rsid w:val="00DC5B66"/>
    <w:rsid w:val="00DD7BA4"/>
    <w:rsid w:val="00DD7BEE"/>
    <w:rsid w:val="00DE7961"/>
    <w:rsid w:val="00DF0187"/>
    <w:rsid w:val="00DF0EA3"/>
    <w:rsid w:val="00DF128F"/>
    <w:rsid w:val="00DF652A"/>
    <w:rsid w:val="00E01B21"/>
    <w:rsid w:val="00E02C40"/>
    <w:rsid w:val="00E24CC1"/>
    <w:rsid w:val="00E24DA1"/>
    <w:rsid w:val="00E328A8"/>
    <w:rsid w:val="00E35D6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EF47A7"/>
    <w:rsid w:val="00F05462"/>
    <w:rsid w:val="00F07FC4"/>
    <w:rsid w:val="00F11BC4"/>
    <w:rsid w:val="00F14AEF"/>
    <w:rsid w:val="00F234CC"/>
    <w:rsid w:val="00F23EBB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9206A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F4FAF1F7FF0564A13B3C5A15396E1D11B86DEB4B074239883A3C5A0CBFB36C99D9077B07E440AlDe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7791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SYSTEMA</cp:lastModifiedBy>
  <cp:revision>139</cp:revision>
  <cp:lastPrinted>2013-06-26T10:47:00Z</cp:lastPrinted>
  <dcterms:created xsi:type="dcterms:W3CDTF">2013-03-20T12:16:00Z</dcterms:created>
  <dcterms:modified xsi:type="dcterms:W3CDTF">2016-02-01T13:05:00Z</dcterms:modified>
</cp:coreProperties>
</file>