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32" w:rsidRPr="00AB04D3" w:rsidRDefault="00AF5332" w:rsidP="00AF5332">
      <w:pPr>
        <w:spacing w:after="0" w:line="240" w:lineRule="auto"/>
        <w:jc w:val="center"/>
        <w:rPr>
          <w:sz w:val="28"/>
          <w:szCs w:val="28"/>
        </w:rPr>
      </w:pPr>
      <w:r w:rsidRPr="00AB04D3">
        <w:rPr>
          <w:sz w:val="28"/>
          <w:szCs w:val="28"/>
        </w:rPr>
        <w:t>РОССИЙСКАЯ ФЕДЕРАЦИЯ</w:t>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AF5332" w:rsidRPr="00AB04D3" w:rsidRDefault="003D7708" w:rsidP="003D7708">
      <w:pPr>
        <w:spacing w:after="0" w:line="240" w:lineRule="auto"/>
        <w:jc w:val="center"/>
        <w:rPr>
          <w:sz w:val="28"/>
          <w:szCs w:val="28"/>
        </w:rPr>
      </w:pPr>
      <w:r>
        <w:rPr>
          <w:sz w:val="28"/>
          <w:szCs w:val="28"/>
        </w:rPr>
        <w:t>АДМИНИСТРАЦИЯ ГАГАРИНСКОГО</w:t>
      </w:r>
      <w:r>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AB04D3" w:rsidRDefault="00AF5332" w:rsidP="00AF5332">
      <w:pPr>
        <w:spacing w:after="0" w:line="240" w:lineRule="auto"/>
        <w:rPr>
          <w:sz w:val="28"/>
          <w:szCs w:val="28"/>
        </w:rPr>
      </w:pPr>
      <w:r>
        <w:rPr>
          <w:sz w:val="28"/>
          <w:szCs w:val="28"/>
        </w:rPr>
        <w:t xml:space="preserve">   </w:t>
      </w:r>
      <w:r w:rsidR="00AE42B5">
        <w:rPr>
          <w:sz w:val="28"/>
          <w:szCs w:val="28"/>
        </w:rPr>
        <w:t xml:space="preserve">30 июня </w:t>
      </w:r>
      <w:r w:rsidRPr="00AE42B5">
        <w:rPr>
          <w:sz w:val="28"/>
          <w:szCs w:val="28"/>
        </w:rPr>
        <w:t xml:space="preserve">2020                                       </w:t>
      </w:r>
      <w:r w:rsidR="00AE42B5">
        <w:rPr>
          <w:sz w:val="28"/>
          <w:szCs w:val="28"/>
        </w:rPr>
        <w:t xml:space="preserve">                                                    </w:t>
      </w:r>
      <w:r w:rsidRPr="00AE42B5">
        <w:rPr>
          <w:sz w:val="28"/>
          <w:szCs w:val="28"/>
        </w:rPr>
        <w:t xml:space="preserve"> № </w:t>
      </w:r>
      <w:r w:rsidR="00AE42B5">
        <w:rPr>
          <w:sz w:val="28"/>
          <w:szCs w:val="28"/>
        </w:rPr>
        <w:t>23</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836B90" w:rsidRPr="00AC4D48" w:rsidRDefault="00836B90" w:rsidP="003D7708">
      <w:pPr>
        <w:spacing w:after="0" w:line="240" w:lineRule="auto"/>
        <w:rPr>
          <w:sz w:val="28"/>
          <w:szCs w:val="26"/>
        </w:rPr>
      </w:pPr>
      <w:r w:rsidRPr="00AC4D48">
        <w:rPr>
          <w:sz w:val="28"/>
          <w:szCs w:val="26"/>
        </w:rPr>
        <w:t>Об утверждении Положения об осуществлении</w:t>
      </w:r>
    </w:p>
    <w:p w:rsidR="00836B90" w:rsidRPr="00AC4D48" w:rsidRDefault="00836B90" w:rsidP="003D7708">
      <w:pPr>
        <w:spacing w:after="0" w:line="240" w:lineRule="auto"/>
        <w:rPr>
          <w:sz w:val="28"/>
          <w:szCs w:val="26"/>
        </w:rPr>
      </w:pPr>
      <w:r w:rsidRPr="00AC4D48">
        <w:rPr>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AC4D48">
        <w:rPr>
          <w:sz w:val="28"/>
          <w:szCs w:val="28"/>
        </w:rPr>
        <w:t xml:space="preserve">Администрация </w:t>
      </w:r>
      <w:r w:rsidR="003D7708">
        <w:rPr>
          <w:sz w:val="28"/>
          <w:szCs w:val="28"/>
        </w:rPr>
        <w:t>Г</w:t>
      </w:r>
      <w:r w:rsidR="00B77BC1">
        <w:rPr>
          <w:sz w:val="28"/>
          <w:szCs w:val="28"/>
        </w:rPr>
        <w:t>а</w:t>
      </w:r>
      <w:r w:rsidR="003D7708">
        <w:rPr>
          <w:sz w:val="28"/>
          <w:szCs w:val="28"/>
        </w:rPr>
        <w:t>гаринского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836B90" w:rsidRDefault="00836B90">
      <w:pPr>
        <w:autoSpaceDE w:val="0"/>
        <w:autoSpaceDN w:val="0"/>
        <w:adjustRightInd w:val="0"/>
        <w:spacing w:after="0"/>
        <w:ind w:firstLine="709"/>
        <w:jc w:val="center"/>
        <w:rPr>
          <w:color w:val="000000"/>
          <w:sz w:val="28"/>
          <w:szCs w:val="28"/>
          <w:lang w:eastAsia="en-US"/>
        </w:rPr>
      </w:pPr>
    </w:p>
    <w:p w:rsidR="00836B90" w:rsidRPr="001F527A" w:rsidRDefault="00AC4D48" w:rsidP="001F527A">
      <w:pPr>
        <w:widowControl w:val="0"/>
        <w:tabs>
          <w:tab w:val="left" w:pos="312"/>
        </w:tabs>
        <w:autoSpaceDE w:val="0"/>
        <w:autoSpaceDN w:val="0"/>
        <w:adjustRightInd w:val="0"/>
        <w:spacing w:after="0" w:line="240" w:lineRule="auto"/>
        <w:jc w:val="both"/>
        <w:rPr>
          <w:sz w:val="28"/>
          <w:szCs w:val="28"/>
        </w:rPr>
      </w:pPr>
      <w:r w:rsidRPr="001F527A">
        <w:rPr>
          <w:spacing w:val="1"/>
          <w:sz w:val="28"/>
          <w:szCs w:val="28"/>
        </w:rPr>
        <w:t xml:space="preserve">        </w:t>
      </w:r>
      <w:r w:rsidR="001F527A">
        <w:rPr>
          <w:spacing w:val="1"/>
          <w:sz w:val="28"/>
          <w:szCs w:val="28"/>
        </w:rPr>
        <w:t xml:space="preserve"> </w:t>
      </w:r>
      <w:r w:rsidRPr="001F527A">
        <w:rPr>
          <w:spacing w:val="1"/>
          <w:sz w:val="28"/>
          <w:szCs w:val="28"/>
        </w:rPr>
        <w:t>1.</w:t>
      </w:r>
      <w:r w:rsidR="00836B90" w:rsidRPr="001F527A">
        <w:rPr>
          <w:spacing w:val="1"/>
          <w:sz w:val="28"/>
          <w:szCs w:val="28"/>
        </w:rPr>
        <w:t>У</w:t>
      </w:r>
      <w:r w:rsidR="00836B90" w:rsidRPr="001F527A">
        <w:rPr>
          <w:sz w:val="28"/>
          <w:szCs w:val="28"/>
        </w:rPr>
        <w:t>т</w:t>
      </w:r>
      <w:r w:rsidR="00836B90" w:rsidRPr="001F527A">
        <w:rPr>
          <w:spacing w:val="-1"/>
          <w:sz w:val="28"/>
          <w:szCs w:val="28"/>
        </w:rPr>
        <w:t>в</w:t>
      </w:r>
      <w:r w:rsidR="00836B90" w:rsidRPr="001F527A">
        <w:rPr>
          <w:spacing w:val="-2"/>
          <w:sz w:val="28"/>
          <w:szCs w:val="28"/>
        </w:rPr>
        <w:t>е</w:t>
      </w:r>
      <w:r w:rsidR="00836B90" w:rsidRPr="001F527A">
        <w:rPr>
          <w:spacing w:val="1"/>
          <w:sz w:val="28"/>
          <w:szCs w:val="28"/>
        </w:rPr>
        <w:t>р</w:t>
      </w:r>
      <w:r w:rsidR="00836B90" w:rsidRPr="001F527A">
        <w:rPr>
          <w:spacing w:val="-1"/>
          <w:sz w:val="28"/>
          <w:szCs w:val="28"/>
        </w:rPr>
        <w:t>д</w:t>
      </w:r>
      <w:r w:rsidR="00836B90" w:rsidRPr="001F527A">
        <w:rPr>
          <w:spacing w:val="1"/>
          <w:sz w:val="28"/>
          <w:szCs w:val="28"/>
        </w:rPr>
        <w:t>и</w:t>
      </w:r>
      <w:r w:rsidR="00836B90" w:rsidRPr="001F527A">
        <w:rPr>
          <w:sz w:val="28"/>
          <w:szCs w:val="28"/>
        </w:rPr>
        <w:t>ть Положение</w:t>
      </w:r>
      <w:r w:rsidR="00836B90" w:rsidRPr="001F527A">
        <w:rPr>
          <w:spacing w:val="35"/>
          <w:sz w:val="28"/>
          <w:szCs w:val="28"/>
        </w:rPr>
        <w:t xml:space="preserve"> </w:t>
      </w:r>
      <w:r w:rsidR="00836B90" w:rsidRPr="001F527A">
        <w:rPr>
          <w:sz w:val="28"/>
          <w:szCs w:val="28"/>
        </w:rPr>
        <w:t>об</w:t>
      </w:r>
      <w:r w:rsidR="00836B90" w:rsidRPr="001F527A">
        <w:rPr>
          <w:spacing w:val="34"/>
          <w:sz w:val="28"/>
          <w:szCs w:val="28"/>
        </w:rPr>
        <w:t xml:space="preserve"> </w:t>
      </w:r>
      <w:r w:rsidR="00836B90" w:rsidRPr="001F527A">
        <w:rPr>
          <w:spacing w:val="1"/>
          <w:sz w:val="28"/>
          <w:szCs w:val="28"/>
        </w:rPr>
        <w:t>о</w:t>
      </w:r>
      <w:r w:rsidR="00836B90" w:rsidRPr="001F527A">
        <w:rPr>
          <w:sz w:val="28"/>
          <w:szCs w:val="28"/>
        </w:rPr>
        <w:t>с</w:t>
      </w:r>
      <w:r w:rsidR="00836B90" w:rsidRPr="001F527A">
        <w:rPr>
          <w:spacing w:val="-4"/>
          <w:sz w:val="28"/>
          <w:szCs w:val="28"/>
        </w:rPr>
        <w:t>у</w:t>
      </w:r>
      <w:r w:rsidR="00836B90" w:rsidRPr="001F527A">
        <w:rPr>
          <w:sz w:val="28"/>
          <w:szCs w:val="28"/>
        </w:rPr>
        <w:t>щест</w:t>
      </w:r>
      <w:r w:rsidR="00836B90" w:rsidRPr="001F527A">
        <w:rPr>
          <w:spacing w:val="-1"/>
          <w:sz w:val="28"/>
          <w:szCs w:val="28"/>
        </w:rPr>
        <w:t>вл</w:t>
      </w:r>
      <w:r w:rsidR="00836B90" w:rsidRPr="001F527A">
        <w:rPr>
          <w:sz w:val="28"/>
          <w:szCs w:val="28"/>
        </w:rPr>
        <w:t>е</w:t>
      </w:r>
      <w:r w:rsidR="00836B90" w:rsidRPr="001F527A">
        <w:rPr>
          <w:spacing w:val="1"/>
          <w:sz w:val="28"/>
          <w:szCs w:val="28"/>
        </w:rPr>
        <w:t xml:space="preserve">нии </w:t>
      </w:r>
      <w:r w:rsidR="00836B90" w:rsidRPr="001F527A">
        <w:rPr>
          <w:spacing w:val="-3"/>
          <w:sz w:val="28"/>
          <w:szCs w:val="28"/>
        </w:rPr>
        <w:t>в</w:t>
      </w:r>
      <w:r w:rsidR="00836B90" w:rsidRPr="001F527A">
        <w:rPr>
          <w:spacing w:val="1"/>
          <w:sz w:val="28"/>
          <w:szCs w:val="28"/>
        </w:rPr>
        <w:t>н</w:t>
      </w:r>
      <w:r w:rsidR="00836B90" w:rsidRPr="001F527A">
        <w:rPr>
          <w:spacing w:val="-4"/>
          <w:sz w:val="28"/>
          <w:szCs w:val="28"/>
        </w:rPr>
        <w:t>у</w:t>
      </w:r>
      <w:r w:rsidR="00836B90" w:rsidRPr="001F527A">
        <w:rPr>
          <w:sz w:val="28"/>
          <w:szCs w:val="28"/>
        </w:rPr>
        <w:t>т</w:t>
      </w:r>
      <w:r w:rsidR="00836B90" w:rsidRPr="001F527A">
        <w:rPr>
          <w:spacing w:val="1"/>
          <w:sz w:val="28"/>
          <w:szCs w:val="28"/>
        </w:rPr>
        <w:t>р</w:t>
      </w:r>
      <w:r w:rsidR="00836B90" w:rsidRPr="001F527A">
        <w:rPr>
          <w:sz w:val="28"/>
          <w:szCs w:val="28"/>
        </w:rPr>
        <w:t>е</w:t>
      </w:r>
      <w:r w:rsidR="00836B90" w:rsidRPr="001F527A">
        <w:rPr>
          <w:spacing w:val="1"/>
          <w:sz w:val="28"/>
          <w:szCs w:val="28"/>
        </w:rPr>
        <w:t>нн</w:t>
      </w:r>
      <w:r w:rsidR="00836B90" w:rsidRPr="001F527A">
        <w:rPr>
          <w:spacing w:val="-2"/>
          <w:sz w:val="28"/>
          <w:szCs w:val="28"/>
        </w:rPr>
        <w:t>е</w:t>
      </w:r>
      <w:r w:rsidR="00836B90" w:rsidRPr="001F527A">
        <w:rPr>
          <w:sz w:val="28"/>
          <w:szCs w:val="28"/>
        </w:rPr>
        <w:t xml:space="preserve">го </w:t>
      </w:r>
      <w:r w:rsidR="00836B90" w:rsidRPr="001F527A">
        <w:rPr>
          <w:spacing w:val="-2"/>
          <w:sz w:val="28"/>
          <w:szCs w:val="28"/>
        </w:rPr>
        <w:t>ф</w:t>
      </w:r>
      <w:r w:rsidR="00836B90" w:rsidRPr="001F527A">
        <w:rPr>
          <w:spacing w:val="-1"/>
          <w:sz w:val="28"/>
          <w:szCs w:val="28"/>
        </w:rPr>
        <w:t>и</w:t>
      </w:r>
      <w:r w:rsidR="00836B90" w:rsidRPr="001F527A">
        <w:rPr>
          <w:spacing w:val="1"/>
          <w:sz w:val="28"/>
          <w:szCs w:val="28"/>
        </w:rPr>
        <w:t>н</w:t>
      </w:r>
      <w:r w:rsidR="00836B90" w:rsidRPr="001F527A">
        <w:rPr>
          <w:sz w:val="28"/>
          <w:szCs w:val="28"/>
        </w:rPr>
        <w:t>а</w:t>
      </w:r>
      <w:r w:rsidR="00836B90" w:rsidRPr="001F527A">
        <w:rPr>
          <w:spacing w:val="-1"/>
          <w:sz w:val="28"/>
          <w:szCs w:val="28"/>
        </w:rPr>
        <w:t>н</w:t>
      </w:r>
      <w:r w:rsidR="00836B90" w:rsidRPr="001F527A">
        <w:rPr>
          <w:sz w:val="28"/>
          <w:szCs w:val="28"/>
        </w:rPr>
        <w:t>с</w:t>
      </w:r>
      <w:r w:rsidR="00836B90" w:rsidRPr="001F527A">
        <w:rPr>
          <w:spacing w:val="1"/>
          <w:sz w:val="28"/>
          <w:szCs w:val="28"/>
        </w:rPr>
        <w:t>о</w:t>
      </w:r>
      <w:r w:rsidR="00836B90" w:rsidRPr="001F527A">
        <w:rPr>
          <w:spacing w:val="-3"/>
          <w:sz w:val="28"/>
          <w:szCs w:val="28"/>
        </w:rPr>
        <w:t>в</w:t>
      </w:r>
      <w:r w:rsidR="00836B90" w:rsidRPr="001F527A">
        <w:rPr>
          <w:spacing w:val="1"/>
          <w:sz w:val="28"/>
          <w:szCs w:val="28"/>
        </w:rPr>
        <w:t>о</w:t>
      </w:r>
      <w:r w:rsidR="00836B90" w:rsidRPr="001F527A">
        <w:rPr>
          <w:spacing w:val="-2"/>
          <w:sz w:val="28"/>
          <w:szCs w:val="28"/>
        </w:rPr>
        <w:t>г</w:t>
      </w:r>
      <w:r w:rsidR="00836B90" w:rsidRPr="001F527A">
        <w:rPr>
          <w:sz w:val="28"/>
          <w:szCs w:val="28"/>
        </w:rPr>
        <w:t>о а</w:t>
      </w:r>
      <w:r w:rsidR="00836B90" w:rsidRPr="001F527A">
        <w:rPr>
          <w:spacing w:val="-4"/>
          <w:sz w:val="28"/>
          <w:szCs w:val="28"/>
        </w:rPr>
        <w:t>у</w:t>
      </w:r>
      <w:r w:rsidR="00836B90" w:rsidRPr="001F527A">
        <w:rPr>
          <w:spacing w:val="1"/>
          <w:sz w:val="28"/>
          <w:szCs w:val="28"/>
        </w:rPr>
        <w:t>ди</w:t>
      </w:r>
      <w:r w:rsidR="00836B90" w:rsidRPr="001F527A">
        <w:rPr>
          <w:sz w:val="28"/>
          <w:szCs w:val="28"/>
        </w:rPr>
        <w:t>та с</w:t>
      </w:r>
      <w:r w:rsidR="00836B90" w:rsidRPr="001F527A">
        <w:rPr>
          <w:spacing w:val="1"/>
          <w:sz w:val="28"/>
          <w:szCs w:val="28"/>
        </w:rPr>
        <w:t>о</w:t>
      </w:r>
      <w:r w:rsidR="00836B90" w:rsidRPr="001F527A">
        <w:rPr>
          <w:sz w:val="28"/>
          <w:szCs w:val="28"/>
        </w:rPr>
        <w:t>г</w:t>
      </w:r>
      <w:r w:rsidR="00836B90" w:rsidRPr="001F527A">
        <w:rPr>
          <w:spacing w:val="-1"/>
          <w:sz w:val="28"/>
          <w:szCs w:val="28"/>
        </w:rPr>
        <w:t>л</w:t>
      </w:r>
      <w:r w:rsidR="00836B90" w:rsidRPr="001F527A">
        <w:rPr>
          <w:sz w:val="28"/>
          <w:szCs w:val="28"/>
        </w:rPr>
        <w:t>а</w:t>
      </w:r>
      <w:r w:rsidR="00836B90" w:rsidRPr="001F527A">
        <w:rPr>
          <w:spacing w:val="-2"/>
          <w:sz w:val="28"/>
          <w:szCs w:val="28"/>
        </w:rPr>
        <w:t>с</w:t>
      </w:r>
      <w:r w:rsidR="00836B90" w:rsidRPr="001F527A">
        <w:rPr>
          <w:spacing w:val="1"/>
          <w:sz w:val="28"/>
          <w:szCs w:val="28"/>
        </w:rPr>
        <w:t>н</w:t>
      </w:r>
      <w:r w:rsidR="00836B90" w:rsidRPr="001F527A">
        <w:rPr>
          <w:sz w:val="28"/>
          <w:szCs w:val="28"/>
        </w:rPr>
        <w:t xml:space="preserve">о </w:t>
      </w:r>
      <w:r w:rsidR="00836B90" w:rsidRPr="001F527A">
        <w:rPr>
          <w:spacing w:val="-2"/>
          <w:sz w:val="28"/>
          <w:szCs w:val="28"/>
        </w:rPr>
        <w:t>п</w:t>
      </w:r>
      <w:r w:rsidR="00836B90" w:rsidRPr="001F527A">
        <w:rPr>
          <w:spacing w:val="1"/>
          <w:sz w:val="28"/>
          <w:szCs w:val="28"/>
        </w:rPr>
        <w:t>ри</w:t>
      </w:r>
      <w:r w:rsidR="00836B90" w:rsidRPr="001F527A">
        <w:rPr>
          <w:spacing w:val="-3"/>
          <w:sz w:val="28"/>
          <w:szCs w:val="28"/>
        </w:rPr>
        <w:t>л</w:t>
      </w:r>
      <w:r w:rsidR="00836B90" w:rsidRPr="001F527A">
        <w:rPr>
          <w:spacing w:val="1"/>
          <w:sz w:val="28"/>
          <w:szCs w:val="28"/>
        </w:rPr>
        <w:t>о</w:t>
      </w:r>
      <w:r w:rsidR="00836B90" w:rsidRPr="001F527A">
        <w:rPr>
          <w:spacing w:val="-2"/>
          <w:sz w:val="28"/>
          <w:szCs w:val="28"/>
        </w:rPr>
        <w:t>ж</w:t>
      </w:r>
      <w:r w:rsidR="00836B90" w:rsidRPr="001F527A">
        <w:rPr>
          <w:sz w:val="28"/>
          <w:szCs w:val="28"/>
        </w:rPr>
        <w:t>е</w:t>
      </w:r>
      <w:r w:rsidR="00836B90" w:rsidRPr="001F527A">
        <w:rPr>
          <w:spacing w:val="1"/>
          <w:sz w:val="28"/>
          <w:szCs w:val="28"/>
        </w:rPr>
        <w:t>ни</w:t>
      </w:r>
      <w:r w:rsidR="00836B90" w:rsidRPr="001F527A">
        <w:rPr>
          <w:sz w:val="28"/>
          <w:szCs w:val="28"/>
        </w:rPr>
        <w:t>ю к</w:t>
      </w:r>
      <w:r w:rsidR="00836B90" w:rsidRPr="001F527A">
        <w:rPr>
          <w:spacing w:val="1"/>
          <w:sz w:val="28"/>
          <w:szCs w:val="28"/>
        </w:rPr>
        <w:t xml:space="preserve"> н</w:t>
      </w:r>
      <w:r w:rsidR="00836B90" w:rsidRPr="001F527A">
        <w:rPr>
          <w:sz w:val="28"/>
          <w:szCs w:val="28"/>
        </w:rPr>
        <w:t>ас</w:t>
      </w:r>
      <w:r w:rsidR="00836B90" w:rsidRPr="001F527A">
        <w:rPr>
          <w:spacing w:val="-3"/>
          <w:sz w:val="28"/>
          <w:szCs w:val="28"/>
        </w:rPr>
        <w:t>т</w:t>
      </w:r>
      <w:r w:rsidR="00836B90" w:rsidRPr="001F527A">
        <w:rPr>
          <w:spacing w:val="1"/>
          <w:sz w:val="28"/>
          <w:szCs w:val="28"/>
        </w:rPr>
        <w:t>о</w:t>
      </w:r>
      <w:r w:rsidR="00836B90" w:rsidRPr="001F527A">
        <w:rPr>
          <w:spacing w:val="-2"/>
          <w:sz w:val="28"/>
          <w:szCs w:val="28"/>
        </w:rPr>
        <w:t>я</w:t>
      </w:r>
      <w:r w:rsidR="00836B90" w:rsidRPr="001F527A">
        <w:rPr>
          <w:sz w:val="28"/>
          <w:szCs w:val="28"/>
        </w:rPr>
        <w:t>щ</w:t>
      </w:r>
      <w:r w:rsidR="00836B90" w:rsidRPr="001F527A">
        <w:rPr>
          <w:spacing w:val="-2"/>
          <w:sz w:val="28"/>
          <w:szCs w:val="28"/>
        </w:rPr>
        <w:t>е</w:t>
      </w:r>
      <w:r w:rsidR="00836B90" w:rsidRPr="001F527A">
        <w:rPr>
          <w:sz w:val="28"/>
          <w:szCs w:val="28"/>
        </w:rPr>
        <w:t xml:space="preserve">му </w:t>
      </w:r>
      <w:r w:rsidR="00836B90" w:rsidRPr="001F527A">
        <w:rPr>
          <w:spacing w:val="1"/>
          <w:sz w:val="28"/>
          <w:szCs w:val="28"/>
        </w:rPr>
        <w:t>по</w:t>
      </w:r>
      <w:r w:rsidR="00836B90" w:rsidRPr="001F527A">
        <w:rPr>
          <w:sz w:val="28"/>
          <w:szCs w:val="28"/>
        </w:rPr>
        <w:t>с</w:t>
      </w:r>
      <w:r w:rsidR="00836B90" w:rsidRPr="001F527A">
        <w:rPr>
          <w:spacing w:val="-3"/>
          <w:sz w:val="28"/>
          <w:szCs w:val="28"/>
        </w:rPr>
        <w:t>т</w:t>
      </w:r>
      <w:r w:rsidR="00836B90" w:rsidRPr="001F527A">
        <w:rPr>
          <w:sz w:val="28"/>
          <w:szCs w:val="28"/>
        </w:rPr>
        <w:t>а</w:t>
      </w:r>
      <w:r w:rsidR="00836B90" w:rsidRPr="001F527A">
        <w:rPr>
          <w:spacing w:val="-1"/>
          <w:sz w:val="28"/>
          <w:szCs w:val="28"/>
        </w:rPr>
        <w:t>н</w:t>
      </w:r>
      <w:r w:rsidR="00836B90" w:rsidRPr="001F527A">
        <w:rPr>
          <w:spacing w:val="1"/>
          <w:sz w:val="28"/>
          <w:szCs w:val="28"/>
        </w:rPr>
        <w:t>о</w:t>
      </w:r>
      <w:r w:rsidR="00836B90" w:rsidRPr="001F527A">
        <w:rPr>
          <w:spacing w:val="-1"/>
          <w:sz w:val="28"/>
          <w:szCs w:val="28"/>
        </w:rPr>
        <w:t>вл</w:t>
      </w:r>
      <w:r w:rsidR="00836B90" w:rsidRPr="001F527A">
        <w:rPr>
          <w:sz w:val="28"/>
          <w:szCs w:val="28"/>
        </w:rPr>
        <w:t>е</w:t>
      </w:r>
      <w:r w:rsidR="00836B90" w:rsidRPr="001F527A">
        <w:rPr>
          <w:spacing w:val="-1"/>
          <w:sz w:val="28"/>
          <w:szCs w:val="28"/>
        </w:rPr>
        <w:t>н</w:t>
      </w:r>
      <w:r w:rsidR="00836B90" w:rsidRPr="001F527A">
        <w:rPr>
          <w:spacing w:val="1"/>
          <w:sz w:val="28"/>
          <w:szCs w:val="28"/>
        </w:rPr>
        <w:t>и</w:t>
      </w:r>
      <w:r w:rsidR="00836B90" w:rsidRPr="001F527A">
        <w:rPr>
          <w:spacing w:val="-1"/>
          <w:sz w:val="28"/>
          <w:szCs w:val="28"/>
        </w:rPr>
        <w:t>ю</w:t>
      </w:r>
      <w:r w:rsidR="00836B90" w:rsidRPr="001F527A">
        <w:rPr>
          <w:sz w:val="28"/>
          <w:szCs w:val="28"/>
        </w:rPr>
        <w:t>.</w:t>
      </w:r>
    </w:p>
    <w:p w:rsidR="00836B90" w:rsidRPr="001F527A" w:rsidRDefault="00AC4D48" w:rsidP="001F527A">
      <w:pPr>
        <w:widowControl w:val="0"/>
        <w:autoSpaceDE w:val="0"/>
        <w:autoSpaceDN w:val="0"/>
        <w:adjustRightInd w:val="0"/>
        <w:spacing w:after="0" w:line="240" w:lineRule="auto"/>
        <w:jc w:val="both"/>
        <w:rPr>
          <w:kern w:val="2"/>
          <w:sz w:val="28"/>
          <w:szCs w:val="28"/>
          <w:lang w:eastAsia="en-US"/>
        </w:rPr>
      </w:pPr>
      <w:r w:rsidRPr="001F527A">
        <w:rPr>
          <w:color w:val="000000"/>
          <w:sz w:val="28"/>
          <w:szCs w:val="28"/>
        </w:rPr>
        <w:t xml:space="preserve">   </w:t>
      </w:r>
      <w:r w:rsidR="001F527A">
        <w:rPr>
          <w:color w:val="000000"/>
          <w:sz w:val="28"/>
          <w:szCs w:val="28"/>
        </w:rPr>
        <w:t xml:space="preserve">      </w:t>
      </w:r>
      <w:r w:rsidR="00836B90" w:rsidRPr="001F527A">
        <w:rPr>
          <w:color w:val="000000"/>
          <w:sz w:val="28"/>
          <w:szCs w:val="28"/>
        </w:rPr>
        <w:t xml:space="preserve">2. Признать утратившим силу </w:t>
      </w:r>
      <w:r w:rsidR="004071CE" w:rsidRPr="001F527A">
        <w:rPr>
          <w:color w:val="000000"/>
          <w:sz w:val="28"/>
          <w:szCs w:val="28"/>
        </w:rPr>
        <w:t>п</w:t>
      </w:r>
      <w:r w:rsidR="00836B90" w:rsidRPr="001F527A">
        <w:rPr>
          <w:color w:val="000000"/>
          <w:sz w:val="28"/>
          <w:szCs w:val="28"/>
        </w:rPr>
        <w:t xml:space="preserve">остановление Администрации </w:t>
      </w:r>
      <w:r w:rsidR="003D7708">
        <w:rPr>
          <w:color w:val="000000"/>
          <w:sz w:val="28"/>
          <w:szCs w:val="28"/>
        </w:rPr>
        <w:t>Гагаринского</w:t>
      </w:r>
      <w:r w:rsidR="00836B90" w:rsidRPr="001F527A">
        <w:rPr>
          <w:color w:val="000000"/>
          <w:sz w:val="28"/>
          <w:szCs w:val="28"/>
        </w:rPr>
        <w:t xml:space="preserve"> сельского поселения от </w:t>
      </w:r>
      <w:r w:rsidR="00D366AA">
        <w:rPr>
          <w:color w:val="000000"/>
          <w:sz w:val="28"/>
          <w:szCs w:val="28"/>
        </w:rPr>
        <w:t>23</w:t>
      </w:r>
      <w:r w:rsidR="00836B90" w:rsidRPr="001F527A">
        <w:rPr>
          <w:color w:val="000000"/>
          <w:sz w:val="28"/>
          <w:szCs w:val="28"/>
        </w:rPr>
        <w:t>.</w:t>
      </w:r>
      <w:r w:rsidR="00D366AA">
        <w:rPr>
          <w:color w:val="000000"/>
          <w:sz w:val="28"/>
          <w:szCs w:val="28"/>
        </w:rPr>
        <w:t>04</w:t>
      </w:r>
      <w:r w:rsidR="00836B90" w:rsidRPr="001F527A">
        <w:rPr>
          <w:color w:val="000000"/>
          <w:sz w:val="28"/>
          <w:szCs w:val="28"/>
        </w:rPr>
        <w:t>.20</w:t>
      </w:r>
      <w:r w:rsidR="00D366AA">
        <w:rPr>
          <w:color w:val="000000"/>
          <w:sz w:val="28"/>
          <w:szCs w:val="28"/>
        </w:rPr>
        <w:t>14</w:t>
      </w:r>
      <w:r w:rsidR="004071CE" w:rsidRPr="001F527A">
        <w:rPr>
          <w:color w:val="000000"/>
          <w:sz w:val="28"/>
          <w:szCs w:val="28"/>
        </w:rPr>
        <w:t xml:space="preserve"> №</w:t>
      </w:r>
      <w:r w:rsidR="00D366AA">
        <w:rPr>
          <w:color w:val="000000"/>
          <w:sz w:val="28"/>
          <w:szCs w:val="28"/>
        </w:rPr>
        <w:t>27</w:t>
      </w:r>
      <w:r w:rsidR="00836B90" w:rsidRPr="001F527A">
        <w:rPr>
          <w:color w:val="000000"/>
          <w:sz w:val="28"/>
          <w:szCs w:val="28"/>
        </w:rPr>
        <w:t xml:space="preserve"> «</w:t>
      </w:r>
      <w:r w:rsidR="004071CE" w:rsidRPr="001F527A">
        <w:rPr>
          <w:bCs/>
          <w:sz w:val="28"/>
          <w:szCs w:val="28"/>
        </w:rPr>
        <w:t>Об</w:t>
      </w:r>
      <w:r w:rsidR="004071CE" w:rsidRPr="001F527A">
        <w:rPr>
          <w:bCs/>
          <w:spacing w:val="1"/>
          <w:sz w:val="28"/>
          <w:szCs w:val="28"/>
        </w:rPr>
        <w:t xml:space="preserve"> </w:t>
      </w:r>
      <w:r w:rsidR="004071CE" w:rsidRPr="001F527A">
        <w:rPr>
          <w:bCs/>
          <w:spacing w:val="-1"/>
          <w:sz w:val="28"/>
          <w:szCs w:val="28"/>
        </w:rPr>
        <w:t>у</w:t>
      </w:r>
      <w:r w:rsidR="004071CE" w:rsidRPr="001F527A">
        <w:rPr>
          <w:bCs/>
          <w:spacing w:val="1"/>
          <w:sz w:val="28"/>
          <w:szCs w:val="28"/>
        </w:rPr>
        <w:t>т</w:t>
      </w:r>
      <w:r w:rsidR="004071CE" w:rsidRPr="001F527A">
        <w:rPr>
          <w:bCs/>
          <w:sz w:val="28"/>
          <w:szCs w:val="28"/>
        </w:rPr>
        <w:t>вер</w:t>
      </w:r>
      <w:r w:rsidR="004071CE" w:rsidRPr="001F527A">
        <w:rPr>
          <w:bCs/>
          <w:spacing w:val="-2"/>
          <w:sz w:val="28"/>
          <w:szCs w:val="28"/>
        </w:rPr>
        <w:t>ж</w:t>
      </w:r>
      <w:r w:rsidR="004071CE" w:rsidRPr="001F527A">
        <w:rPr>
          <w:bCs/>
          <w:sz w:val="28"/>
          <w:szCs w:val="28"/>
        </w:rPr>
        <w:t>де</w:t>
      </w:r>
      <w:r w:rsidR="004071CE" w:rsidRPr="001F527A">
        <w:rPr>
          <w:bCs/>
          <w:spacing w:val="-1"/>
          <w:sz w:val="28"/>
          <w:szCs w:val="28"/>
        </w:rPr>
        <w:t>ни</w:t>
      </w:r>
      <w:r w:rsidR="004071CE" w:rsidRPr="001F527A">
        <w:rPr>
          <w:bCs/>
          <w:sz w:val="28"/>
          <w:szCs w:val="28"/>
        </w:rPr>
        <w:t>и</w:t>
      </w:r>
      <w:r w:rsidR="004071CE" w:rsidRPr="001F527A">
        <w:rPr>
          <w:sz w:val="28"/>
          <w:szCs w:val="28"/>
        </w:rPr>
        <w:t xml:space="preserve"> </w:t>
      </w:r>
      <w:r w:rsidR="004071CE" w:rsidRPr="001F527A">
        <w:rPr>
          <w:bCs/>
          <w:sz w:val="28"/>
          <w:szCs w:val="28"/>
        </w:rPr>
        <w:t>П</w:t>
      </w:r>
      <w:r w:rsidR="004071CE" w:rsidRPr="001F527A">
        <w:rPr>
          <w:bCs/>
          <w:spacing w:val="1"/>
          <w:sz w:val="28"/>
          <w:szCs w:val="28"/>
        </w:rPr>
        <w:t>о</w:t>
      </w:r>
      <w:r w:rsidR="004071CE" w:rsidRPr="001F527A">
        <w:rPr>
          <w:bCs/>
          <w:sz w:val="28"/>
          <w:szCs w:val="28"/>
        </w:rPr>
        <w:t>р</w:t>
      </w:r>
      <w:r w:rsidR="004071CE" w:rsidRPr="001F527A">
        <w:rPr>
          <w:bCs/>
          <w:spacing w:val="-1"/>
          <w:sz w:val="28"/>
          <w:szCs w:val="28"/>
        </w:rPr>
        <w:t>я</w:t>
      </w:r>
      <w:r w:rsidR="004071CE" w:rsidRPr="001F527A">
        <w:rPr>
          <w:bCs/>
          <w:sz w:val="28"/>
          <w:szCs w:val="28"/>
        </w:rPr>
        <w:t>д</w:t>
      </w:r>
      <w:r w:rsidR="004071CE" w:rsidRPr="001F527A">
        <w:rPr>
          <w:bCs/>
          <w:spacing w:val="-1"/>
          <w:sz w:val="28"/>
          <w:szCs w:val="28"/>
        </w:rPr>
        <w:t>к</w:t>
      </w:r>
      <w:r w:rsidR="004071CE" w:rsidRPr="001F527A">
        <w:rPr>
          <w:bCs/>
          <w:sz w:val="28"/>
          <w:szCs w:val="28"/>
        </w:rPr>
        <w:t xml:space="preserve">а </w:t>
      </w:r>
      <w:r w:rsidR="004071CE" w:rsidRPr="001F527A">
        <w:rPr>
          <w:bCs/>
          <w:spacing w:val="1"/>
          <w:sz w:val="28"/>
          <w:szCs w:val="28"/>
        </w:rPr>
        <w:t>о</w:t>
      </w:r>
      <w:r w:rsidR="004071CE" w:rsidRPr="001F527A">
        <w:rPr>
          <w:bCs/>
          <w:spacing w:val="-2"/>
          <w:sz w:val="28"/>
          <w:szCs w:val="28"/>
        </w:rPr>
        <w:t>с</w:t>
      </w:r>
      <w:r w:rsidR="004071CE" w:rsidRPr="001F527A">
        <w:rPr>
          <w:bCs/>
          <w:spacing w:val="1"/>
          <w:sz w:val="28"/>
          <w:szCs w:val="28"/>
        </w:rPr>
        <w:t>у</w:t>
      </w:r>
      <w:r w:rsidR="004071CE" w:rsidRPr="001F527A">
        <w:rPr>
          <w:bCs/>
          <w:spacing w:val="-2"/>
          <w:sz w:val="28"/>
          <w:szCs w:val="28"/>
        </w:rPr>
        <w:t>щ</w:t>
      </w:r>
      <w:r w:rsidR="004071CE" w:rsidRPr="001F527A">
        <w:rPr>
          <w:bCs/>
          <w:sz w:val="28"/>
          <w:szCs w:val="28"/>
        </w:rPr>
        <w:t>ес</w:t>
      </w:r>
      <w:r w:rsidR="004071CE" w:rsidRPr="001F527A">
        <w:rPr>
          <w:bCs/>
          <w:spacing w:val="1"/>
          <w:sz w:val="28"/>
          <w:szCs w:val="28"/>
        </w:rPr>
        <w:t>т</w:t>
      </w:r>
      <w:r w:rsidR="004071CE" w:rsidRPr="001F527A">
        <w:rPr>
          <w:bCs/>
          <w:spacing w:val="-3"/>
          <w:sz w:val="28"/>
          <w:szCs w:val="28"/>
        </w:rPr>
        <w:t>в</w:t>
      </w:r>
      <w:r w:rsidR="004071CE" w:rsidRPr="001F527A">
        <w:rPr>
          <w:bCs/>
          <w:spacing w:val="1"/>
          <w:sz w:val="28"/>
          <w:szCs w:val="28"/>
        </w:rPr>
        <w:t>л</w:t>
      </w:r>
      <w:r w:rsidR="004071CE" w:rsidRPr="001F527A">
        <w:rPr>
          <w:bCs/>
          <w:sz w:val="28"/>
          <w:szCs w:val="28"/>
        </w:rPr>
        <w:t>е</w:t>
      </w:r>
      <w:r w:rsidR="004071CE" w:rsidRPr="001F527A">
        <w:rPr>
          <w:bCs/>
          <w:spacing w:val="-1"/>
          <w:sz w:val="28"/>
          <w:szCs w:val="28"/>
        </w:rPr>
        <w:t>ни</w:t>
      </w:r>
      <w:r w:rsidR="004071CE" w:rsidRPr="001F527A">
        <w:rPr>
          <w:bCs/>
          <w:sz w:val="28"/>
          <w:szCs w:val="28"/>
        </w:rPr>
        <w:t>я</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w:t>
      </w:r>
      <w:r w:rsidR="004071CE" w:rsidRPr="001F527A">
        <w:rPr>
          <w:bCs/>
          <w:spacing w:val="1"/>
          <w:sz w:val="28"/>
          <w:szCs w:val="28"/>
        </w:rPr>
        <w:t>ут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 xml:space="preserve">о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z w:val="28"/>
          <w:szCs w:val="28"/>
        </w:rPr>
        <w:t>го</w:t>
      </w:r>
      <w:r w:rsidR="004071CE" w:rsidRPr="001F527A">
        <w:rPr>
          <w:bCs/>
          <w:spacing w:val="1"/>
          <w:sz w:val="28"/>
          <w:szCs w:val="28"/>
        </w:rPr>
        <w:t xml:space="preserve"> </w:t>
      </w:r>
      <w:r w:rsidR="004071CE" w:rsidRPr="001F527A">
        <w:rPr>
          <w:bCs/>
          <w:spacing w:val="-3"/>
          <w:sz w:val="28"/>
          <w:szCs w:val="28"/>
        </w:rPr>
        <w:t>к</w:t>
      </w:r>
      <w:r w:rsidR="004071CE" w:rsidRPr="001F527A">
        <w:rPr>
          <w:bCs/>
          <w:spacing w:val="1"/>
          <w:sz w:val="28"/>
          <w:szCs w:val="28"/>
        </w:rPr>
        <w:t>о</w:t>
      </w:r>
      <w:r w:rsidR="004071CE" w:rsidRPr="001F527A">
        <w:rPr>
          <w:bCs/>
          <w:spacing w:val="-1"/>
          <w:sz w:val="28"/>
          <w:szCs w:val="28"/>
        </w:rPr>
        <w:t>нт</w:t>
      </w:r>
      <w:r w:rsidR="004071CE" w:rsidRPr="001F527A">
        <w:rPr>
          <w:bCs/>
          <w:sz w:val="28"/>
          <w:szCs w:val="28"/>
        </w:rPr>
        <w:t>р</w:t>
      </w:r>
      <w:r w:rsidR="004071CE" w:rsidRPr="001F527A">
        <w:rPr>
          <w:bCs/>
          <w:spacing w:val="1"/>
          <w:sz w:val="28"/>
          <w:szCs w:val="28"/>
        </w:rPr>
        <w:t>ол</w:t>
      </w:r>
      <w:r w:rsidR="004071CE" w:rsidRPr="001F527A">
        <w:rPr>
          <w:bCs/>
          <w:sz w:val="28"/>
          <w:szCs w:val="28"/>
        </w:rPr>
        <w:t>я</w:t>
      </w:r>
      <w:r w:rsidR="001F527A">
        <w:rPr>
          <w:bCs/>
          <w:sz w:val="28"/>
          <w:szCs w:val="28"/>
        </w:rPr>
        <w:t xml:space="preserve"> </w:t>
      </w:r>
      <w:r w:rsidR="004071CE" w:rsidRPr="001F527A">
        <w:rPr>
          <w:bCs/>
          <w:sz w:val="28"/>
          <w:szCs w:val="28"/>
        </w:rPr>
        <w:t>и</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ну</w:t>
      </w:r>
      <w:r w:rsidR="004071CE" w:rsidRPr="001F527A">
        <w:rPr>
          <w:bCs/>
          <w:spacing w:val="1"/>
          <w:sz w:val="28"/>
          <w:szCs w:val="28"/>
        </w:rPr>
        <w:t>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1"/>
          <w:sz w:val="28"/>
          <w:szCs w:val="28"/>
        </w:rPr>
        <w:t>а</w:t>
      </w:r>
      <w:r w:rsidR="004071CE" w:rsidRPr="001F527A">
        <w:rPr>
          <w:bCs/>
          <w:spacing w:val="1"/>
          <w:sz w:val="28"/>
          <w:szCs w:val="28"/>
        </w:rPr>
        <w:t>у</w:t>
      </w:r>
      <w:r w:rsidR="004071CE" w:rsidRPr="001F527A">
        <w:rPr>
          <w:bCs/>
          <w:spacing w:val="-3"/>
          <w:sz w:val="28"/>
          <w:szCs w:val="28"/>
        </w:rPr>
        <w:t>д</w:t>
      </w:r>
      <w:r w:rsidR="004071CE" w:rsidRPr="001F527A">
        <w:rPr>
          <w:bCs/>
          <w:spacing w:val="-1"/>
          <w:sz w:val="28"/>
          <w:szCs w:val="28"/>
        </w:rPr>
        <w:t>и</w:t>
      </w:r>
      <w:r w:rsidR="004071CE" w:rsidRPr="001F527A">
        <w:rPr>
          <w:bCs/>
          <w:spacing w:val="1"/>
          <w:sz w:val="28"/>
          <w:szCs w:val="28"/>
        </w:rPr>
        <w:t>т</w:t>
      </w:r>
      <w:r w:rsidR="004071CE" w:rsidRPr="001F527A">
        <w:rPr>
          <w:bCs/>
          <w:sz w:val="28"/>
          <w:szCs w:val="28"/>
        </w:rPr>
        <w:t>а</w:t>
      </w:r>
      <w:r w:rsidR="00836B90" w:rsidRPr="001F527A">
        <w:rPr>
          <w:color w:val="000000"/>
          <w:sz w:val="28"/>
          <w:szCs w:val="28"/>
        </w:rPr>
        <w:t>».</w:t>
      </w: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836B90" w:rsidRPr="001F527A">
        <w:rPr>
          <w:kern w:val="2"/>
          <w:sz w:val="28"/>
          <w:szCs w:val="28"/>
          <w:lang w:eastAsia="en-US"/>
        </w:rPr>
        <w:t xml:space="preserve">3.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распр</w:t>
      </w:r>
      <w:r w:rsidR="00BC1FE3">
        <w:rPr>
          <w:kern w:val="2"/>
          <w:sz w:val="28"/>
          <w:szCs w:val="28"/>
          <w:lang w:eastAsia="en-US"/>
        </w:rPr>
        <w:t>о</w:t>
      </w:r>
      <w:r w:rsidR="00882483">
        <w:rPr>
          <w:kern w:val="2"/>
          <w:sz w:val="28"/>
          <w:szCs w:val="28"/>
          <w:lang w:eastAsia="en-US"/>
        </w:rPr>
        <w:t>стр</w:t>
      </w:r>
      <w:r w:rsidR="00BC1FE3">
        <w:rPr>
          <w:kern w:val="2"/>
          <w:sz w:val="28"/>
          <w:szCs w:val="28"/>
          <w:lang w:eastAsia="en-US"/>
        </w:rPr>
        <w:t>а</w:t>
      </w:r>
      <w:r w:rsidR="00882483">
        <w:rPr>
          <w:kern w:val="2"/>
          <w:sz w:val="28"/>
          <w:szCs w:val="28"/>
          <w:lang w:eastAsia="en-US"/>
        </w:rPr>
        <w:t xml:space="preserve">няется на </w:t>
      </w:r>
      <w:proofErr w:type="gramStart"/>
      <w:r w:rsidR="00882483">
        <w:rPr>
          <w:kern w:val="2"/>
          <w:sz w:val="28"/>
          <w:szCs w:val="28"/>
          <w:lang w:eastAsia="en-US"/>
        </w:rPr>
        <w:t>правоотношения</w:t>
      </w:r>
      <w:proofErr w:type="gramEnd"/>
      <w:r w:rsidR="003930E6">
        <w:rPr>
          <w:kern w:val="2"/>
          <w:sz w:val="28"/>
          <w:szCs w:val="28"/>
          <w:lang w:eastAsia="en-US"/>
        </w:rPr>
        <w:t xml:space="preserve"> возникшие с 01.01.2020 года</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836B90" w:rsidRPr="001F527A">
        <w:rPr>
          <w:kern w:val="2"/>
          <w:sz w:val="28"/>
          <w:szCs w:val="28"/>
          <w:lang w:eastAsia="en-US"/>
        </w:rPr>
        <w:t xml:space="preserve">4. </w:t>
      </w:r>
      <w:proofErr w:type="gramStart"/>
      <w:r w:rsidR="00836B90" w:rsidRPr="001F527A">
        <w:rPr>
          <w:sz w:val="28"/>
          <w:szCs w:val="28"/>
        </w:rPr>
        <w:t>Контроль за</w:t>
      </w:r>
      <w:proofErr w:type="gramEnd"/>
      <w:r w:rsidR="00836B90" w:rsidRPr="001F527A">
        <w:rPr>
          <w:sz w:val="28"/>
          <w:szCs w:val="28"/>
        </w:rPr>
        <w:t xml:space="preserve">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D366AA">
      <w:pPr>
        <w:spacing w:after="0" w:line="240" w:lineRule="auto"/>
        <w:jc w:val="both"/>
        <w:rPr>
          <w:sz w:val="28"/>
          <w:szCs w:val="28"/>
        </w:rPr>
      </w:pPr>
      <w:r>
        <w:rPr>
          <w:sz w:val="28"/>
          <w:szCs w:val="28"/>
        </w:rPr>
        <w:t xml:space="preserve">И. о. </w:t>
      </w:r>
      <w:r w:rsidR="00836B90">
        <w:rPr>
          <w:sz w:val="28"/>
          <w:szCs w:val="28"/>
        </w:rPr>
        <w:t>Глав</w:t>
      </w:r>
      <w:r>
        <w:rPr>
          <w:sz w:val="28"/>
          <w:szCs w:val="28"/>
        </w:rPr>
        <w:t>ы</w:t>
      </w:r>
      <w:r w:rsidR="00836B90">
        <w:rPr>
          <w:sz w:val="28"/>
          <w:szCs w:val="28"/>
        </w:rPr>
        <w:t xml:space="preserve"> Администрации </w:t>
      </w:r>
    </w:p>
    <w:p w:rsidR="00836B90" w:rsidRDefault="00D366AA">
      <w:pPr>
        <w:spacing w:after="0" w:line="240" w:lineRule="auto"/>
        <w:jc w:val="both"/>
        <w:rPr>
          <w:sz w:val="20"/>
          <w:szCs w:val="20"/>
        </w:rPr>
      </w:pPr>
      <w:r>
        <w:rPr>
          <w:sz w:val="28"/>
          <w:szCs w:val="28"/>
        </w:rPr>
        <w:t xml:space="preserve">Гагаринского </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И.Ю. Максимова</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rsidP="001F527A">
      <w:pPr>
        <w:autoSpaceDE w:val="0"/>
        <w:autoSpaceDN w:val="0"/>
        <w:adjustRightInd w:val="0"/>
        <w:spacing w:after="0" w:line="240" w:lineRule="auto"/>
        <w:ind w:left="3686"/>
        <w:jc w:val="center"/>
        <w:rPr>
          <w:sz w:val="28"/>
          <w:szCs w:val="28"/>
        </w:rPr>
      </w:pPr>
      <w:r>
        <w:rPr>
          <w:sz w:val="28"/>
          <w:szCs w:val="28"/>
        </w:rPr>
        <w:lastRenderedPageBreak/>
        <w:t>Приложение</w:t>
      </w:r>
    </w:p>
    <w:p w:rsidR="00836B90" w:rsidRDefault="00836B90" w:rsidP="001F527A">
      <w:pPr>
        <w:autoSpaceDE w:val="0"/>
        <w:autoSpaceDN w:val="0"/>
        <w:adjustRightInd w:val="0"/>
        <w:spacing w:after="0" w:line="240" w:lineRule="auto"/>
        <w:ind w:left="3686"/>
        <w:jc w:val="center"/>
        <w:rPr>
          <w:sz w:val="28"/>
          <w:szCs w:val="28"/>
        </w:rPr>
      </w:pPr>
      <w:r>
        <w:rPr>
          <w:sz w:val="28"/>
          <w:szCs w:val="28"/>
        </w:rPr>
        <w:t>к постановлению</w:t>
      </w:r>
    </w:p>
    <w:p w:rsidR="00836B90" w:rsidRDefault="00836B90" w:rsidP="001F527A">
      <w:pPr>
        <w:autoSpaceDE w:val="0"/>
        <w:autoSpaceDN w:val="0"/>
        <w:adjustRightInd w:val="0"/>
        <w:spacing w:after="0" w:line="240" w:lineRule="auto"/>
        <w:ind w:left="3686"/>
        <w:jc w:val="center"/>
        <w:rPr>
          <w:sz w:val="28"/>
          <w:szCs w:val="28"/>
        </w:rPr>
      </w:pPr>
      <w:r>
        <w:rPr>
          <w:sz w:val="28"/>
          <w:szCs w:val="28"/>
        </w:rPr>
        <w:t>Администрации</w:t>
      </w:r>
      <w:r w:rsidR="00D366AA">
        <w:rPr>
          <w:sz w:val="28"/>
          <w:szCs w:val="28"/>
        </w:rPr>
        <w:t xml:space="preserve"> Гагаринского</w:t>
      </w:r>
    </w:p>
    <w:p w:rsidR="00836B90" w:rsidRDefault="00836B90" w:rsidP="001F527A">
      <w:pPr>
        <w:autoSpaceDE w:val="0"/>
        <w:autoSpaceDN w:val="0"/>
        <w:adjustRightInd w:val="0"/>
        <w:spacing w:after="0" w:line="240" w:lineRule="auto"/>
        <w:ind w:left="3686"/>
        <w:jc w:val="center"/>
        <w:rPr>
          <w:color w:val="000000"/>
          <w:sz w:val="28"/>
          <w:szCs w:val="28"/>
        </w:rPr>
      </w:pPr>
      <w:r>
        <w:rPr>
          <w:color w:val="000000"/>
          <w:sz w:val="28"/>
          <w:szCs w:val="28"/>
        </w:rPr>
        <w:t>сельского поселения</w:t>
      </w:r>
    </w:p>
    <w:p w:rsidR="00836B90" w:rsidRDefault="001F527A" w:rsidP="001F527A">
      <w:pPr>
        <w:autoSpaceDE w:val="0"/>
        <w:autoSpaceDN w:val="0"/>
        <w:adjustRightInd w:val="0"/>
        <w:spacing w:after="0" w:line="240" w:lineRule="auto"/>
        <w:ind w:left="3686"/>
        <w:jc w:val="center"/>
        <w:rPr>
          <w:bCs/>
          <w:sz w:val="28"/>
          <w:szCs w:val="28"/>
        </w:rPr>
      </w:pPr>
      <w:r w:rsidRPr="00AE42B5">
        <w:rPr>
          <w:bCs/>
          <w:sz w:val="28"/>
          <w:szCs w:val="28"/>
        </w:rPr>
        <w:t xml:space="preserve">от  </w:t>
      </w:r>
      <w:r w:rsidR="00AE42B5">
        <w:rPr>
          <w:bCs/>
          <w:sz w:val="28"/>
          <w:szCs w:val="28"/>
        </w:rPr>
        <w:t>30</w:t>
      </w:r>
      <w:r w:rsidRPr="00AE42B5">
        <w:rPr>
          <w:bCs/>
          <w:sz w:val="28"/>
          <w:szCs w:val="28"/>
        </w:rPr>
        <w:t>.0</w:t>
      </w:r>
      <w:r w:rsidR="00AE42B5">
        <w:rPr>
          <w:bCs/>
          <w:sz w:val="28"/>
          <w:szCs w:val="28"/>
        </w:rPr>
        <w:t>6</w:t>
      </w:r>
      <w:r w:rsidR="00836B90" w:rsidRPr="00AE42B5">
        <w:rPr>
          <w:bCs/>
          <w:sz w:val="28"/>
          <w:szCs w:val="28"/>
        </w:rPr>
        <w:t xml:space="preserve">.2020 № </w:t>
      </w:r>
      <w:r w:rsidR="00AE42B5">
        <w:rPr>
          <w:bCs/>
          <w:sz w:val="28"/>
          <w:szCs w:val="28"/>
        </w:rPr>
        <w:t>23</w:t>
      </w:r>
      <w:bookmarkStart w:id="0" w:name="_GoBack"/>
      <w:bookmarkEnd w:id="0"/>
    </w:p>
    <w:p w:rsidR="00836B90" w:rsidRDefault="00836B90" w:rsidP="001F527A">
      <w:pPr>
        <w:autoSpaceDE w:val="0"/>
        <w:autoSpaceDN w:val="0"/>
        <w:adjustRightInd w:val="0"/>
        <w:spacing w:after="0"/>
        <w:ind w:left="3686"/>
        <w:jc w:val="center"/>
        <w:rPr>
          <w:bCs/>
          <w:sz w:val="28"/>
          <w:szCs w:val="28"/>
        </w:rPr>
      </w:pPr>
    </w:p>
    <w:p w:rsidR="00836B90" w:rsidRPr="001F527A" w:rsidRDefault="00836B90">
      <w:pPr>
        <w:pStyle w:val="Style12"/>
        <w:widowControl/>
        <w:spacing w:after="0" w:line="240" w:lineRule="auto"/>
        <w:rPr>
          <w:rStyle w:val="FontStyle22"/>
          <w:b w:val="0"/>
          <w:bCs/>
          <w:sz w:val="28"/>
          <w:szCs w:val="28"/>
        </w:rPr>
      </w:pPr>
      <w:r w:rsidRPr="001F527A">
        <w:rPr>
          <w:rStyle w:val="FontStyle22"/>
          <w:b w:val="0"/>
          <w:bCs/>
          <w:sz w:val="28"/>
          <w:szCs w:val="28"/>
        </w:rPr>
        <w:t>Положение</w:t>
      </w:r>
    </w:p>
    <w:p w:rsidR="00836B90" w:rsidRPr="001F527A" w:rsidRDefault="00836B90">
      <w:pPr>
        <w:pStyle w:val="Style12"/>
        <w:widowControl/>
        <w:spacing w:after="0" w:line="240" w:lineRule="auto"/>
        <w:rPr>
          <w:rStyle w:val="FontStyle22"/>
          <w:b w:val="0"/>
          <w:bCs/>
          <w:sz w:val="28"/>
          <w:szCs w:val="28"/>
        </w:rPr>
      </w:pPr>
      <w:r w:rsidRPr="001F527A">
        <w:rPr>
          <w:sz w:val="28"/>
          <w:szCs w:val="28"/>
        </w:rPr>
        <w:t>Об осуществлении внутреннего финансового аудита</w:t>
      </w:r>
    </w:p>
    <w:p w:rsidR="00836B90" w:rsidRPr="001F527A"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1F527A" w:rsidP="001F527A">
      <w:pPr>
        <w:widowControl w:val="0"/>
        <w:autoSpaceDE w:val="0"/>
        <w:autoSpaceDN w:val="0"/>
        <w:adjustRightInd w:val="0"/>
        <w:spacing w:after="0" w:line="240" w:lineRule="auto"/>
        <w:jc w:val="both"/>
        <w:rPr>
          <w:sz w:val="28"/>
          <w:szCs w:val="28"/>
        </w:rPr>
      </w:pPr>
      <w:r>
        <w:rPr>
          <w:spacing w:val="-1"/>
          <w:sz w:val="28"/>
          <w:szCs w:val="28"/>
        </w:rPr>
        <w:t xml:space="preserve">     </w:t>
      </w:r>
      <w:proofErr w:type="gramStart"/>
      <w:r w:rsidR="00836B90">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00836B90">
        <w:rPr>
          <w:sz w:val="28"/>
          <w:szCs w:val="28"/>
        </w:rPr>
        <w:t>, а также правовыми  актами учреждения, принятыми в соответствии с пунктом 5 статьи 264</w:t>
      </w:r>
      <w:r w:rsidR="00836B90">
        <w:rPr>
          <w:sz w:val="28"/>
          <w:szCs w:val="28"/>
          <w:vertAlign w:val="superscript"/>
        </w:rPr>
        <w:t xml:space="preserve">1 </w:t>
      </w:r>
      <w:r w:rsidR="00836B90">
        <w:rPr>
          <w:sz w:val="28"/>
          <w:szCs w:val="28"/>
        </w:rPr>
        <w:t>Бюджетного кодекса Российской Федерации;</w:t>
      </w:r>
      <w:proofErr w:type="gramEnd"/>
    </w:p>
    <w:p w:rsidR="00836B90" w:rsidRDefault="001F527A" w:rsidP="001F527A">
      <w:pPr>
        <w:widowControl w:val="0"/>
        <w:autoSpaceDE w:val="0"/>
        <w:autoSpaceDN w:val="0"/>
        <w:adjustRightInd w:val="0"/>
        <w:spacing w:after="0" w:line="240" w:lineRule="auto"/>
        <w:jc w:val="both"/>
        <w:rPr>
          <w:sz w:val="28"/>
          <w:szCs w:val="28"/>
        </w:rPr>
      </w:pPr>
      <w:r>
        <w:rPr>
          <w:sz w:val="28"/>
          <w:szCs w:val="28"/>
        </w:rPr>
        <w:lastRenderedPageBreak/>
        <w:t xml:space="preserve">     </w:t>
      </w:r>
      <w:r w:rsidR="00836B90">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 xml:space="preserve">Бюджетного кодекса Российской Федерации (далее - значения показателей </w:t>
      </w:r>
      <w:r>
        <w:rPr>
          <w:rFonts w:ascii="Times New Roman" w:hAnsi="Times New Roman" w:cs="Times New Roman"/>
          <w:sz w:val="28"/>
          <w:szCs w:val="28"/>
        </w:rPr>
        <w:lastRenderedPageBreak/>
        <w:t>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w:t>
      </w:r>
      <w:r>
        <w:rPr>
          <w:rFonts w:ascii="Times New Roman" w:hAnsi="Times New Roman" w:cs="Times New Roman"/>
          <w:sz w:val="28"/>
          <w:szCs w:val="28"/>
        </w:rPr>
        <w:lastRenderedPageBreak/>
        <w:t>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определение данных бюджетного учета и (или) бюджетной отчетности, </w:t>
      </w:r>
      <w:r>
        <w:rPr>
          <w:rFonts w:ascii="Times New Roman" w:hAnsi="Times New Roman" w:cs="Times New Roman"/>
          <w:sz w:val="28"/>
          <w:szCs w:val="28"/>
        </w:rPr>
        <w:lastRenderedPageBreak/>
        <w:t>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lastRenderedPageBreak/>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4.4. В целях формирования и ведения реестра бюджетных рисков должностные лица (работники), выполняющие внутренние бюджетные </w:t>
      </w:r>
      <w:r>
        <w:rPr>
          <w:rFonts w:ascii="Times New Roman" w:hAnsi="Times New Roman" w:cs="Times New Roman"/>
          <w:sz w:val="28"/>
          <w:szCs w:val="28"/>
        </w:rPr>
        <w:lastRenderedPageBreak/>
        <w:t>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4.8. Аудиторское мероприятие назначается </w:t>
      </w:r>
      <w:r w:rsidR="001F527A">
        <w:rPr>
          <w:rFonts w:ascii="Times New Roman" w:hAnsi="Times New Roman" w:cs="Times New Roman"/>
          <w:sz w:val="28"/>
          <w:szCs w:val="28"/>
        </w:rPr>
        <w:t>распоряжением</w:t>
      </w:r>
      <w:r>
        <w:rPr>
          <w:rFonts w:ascii="Times New Roman" w:hAnsi="Times New Roman" w:cs="Times New Roman"/>
          <w:sz w:val="28"/>
          <w:szCs w:val="28"/>
        </w:rPr>
        <w:t xml:space="preserve">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sidR="00D366AA">
        <w:rPr>
          <w:rFonts w:ascii="Times New Roman" w:hAnsi="Times New Roman" w:cs="Times New Roman"/>
          <w:sz w:val="28"/>
          <w:szCs w:val="28"/>
        </w:rPr>
        <w:t>Гагаринского сельского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наличие значимых остаточных бюджетных рисков, в том числе рисков искажения бюджетной отчетности, которые оказывают или могут оказывать </w:t>
      </w:r>
      <w:r>
        <w:rPr>
          <w:rFonts w:ascii="Times New Roman" w:hAnsi="Times New Roman" w:cs="Times New Roman"/>
          <w:sz w:val="28"/>
          <w:szCs w:val="28"/>
        </w:rPr>
        <w:lastRenderedPageBreak/>
        <w:t>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 применении материальной и (или) дисциплинарной ответственности к </w:t>
      </w:r>
      <w:r>
        <w:rPr>
          <w:rFonts w:ascii="Times New Roman" w:hAnsi="Times New Roman" w:cs="Times New Roman"/>
          <w:sz w:val="28"/>
          <w:szCs w:val="28"/>
        </w:rPr>
        <w:lastRenderedPageBreak/>
        <w:t>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5.14. Годовая отчетность о результатах осуществления внутреннего </w:t>
      </w:r>
      <w:r>
        <w:rPr>
          <w:rFonts w:ascii="Times New Roman" w:hAnsi="Times New Roman" w:cs="Times New Roman"/>
          <w:sz w:val="28"/>
          <w:szCs w:val="28"/>
        </w:rPr>
        <w:lastRenderedPageBreak/>
        <w:t>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1F527A">
          <w:pgSz w:w="11906" w:h="16838"/>
          <w:pgMar w:top="1134" w:right="850" w:bottom="1134" w:left="1701" w:header="708" w:footer="0" w:gutter="0"/>
          <w:cols w:space="0"/>
          <w:titlePg/>
          <w:docGrid w:linePitch="360"/>
        </w:sect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t>Приложение № 1</w:t>
      </w: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D558F">
        <w:rPr>
          <w:spacing w:val="1"/>
        </w:rPr>
        <w:t>Гагаринского</w:t>
      </w:r>
      <w:r w:rsidRPr="00D148A8">
        <w:rPr>
          <w:spacing w:val="1"/>
        </w:rPr>
        <w:t xml:space="preserve"> </w:t>
      </w:r>
      <w:r>
        <w:rPr>
          <w:spacing w:val="1"/>
        </w:rPr>
        <w:t>сельского поселения</w:t>
      </w: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836B90" w:rsidRPr="0069319A" w:rsidTr="00F00B38">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бюджетного риска</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Должностное лицо, ответственное за выполнение операции</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вероятности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степени влияния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значимости (уровня) бюджетного риска (</w:t>
            </w:r>
            <w:proofErr w:type="gramStart"/>
            <w:r w:rsidRPr="0069319A">
              <w:rPr>
                <w:sz w:val="20"/>
                <w:szCs w:val="20"/>
                <w:lang w:eastAsia="en-US"/>
              </w:rPr>
              <w:t>значимый</w:t>
            </w:r>
            <w:proofErr w:type="gramEnd"/>
            <w:r w:rsidRPr="0069319A">
              <w:rPr>
                <w:sz w:val="20"/>
                <w:szCs w:val="20"/>
                <w:lang w:eastAsia="en-US"/>
              </w:rPr>
              <w:t>/незначимый)</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последствий бюджетного риска</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причин бюджетного риска</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69319A" w:rsidTr="00F00B38">
        <w:trPr>
          <w:trHeight w:val="209"/>
        </w:trPr>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1</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2</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3</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4</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5</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6</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7</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8</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9</w:t>
            </w:r>
          </w:p>
        </w:tc>
      </w:tr>
      <w:tr w:rsidR="00836B90" w:rsidRPr="0069319A" w:rsidTr="00F00B38">
        <w:trPr>
          <w:trHeight w:val="49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rPr>
          <w:trHeight w:val="326"/>
        </w:trPr>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rPr>
          <w:trHeight w:val="48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bl>
    <w:p w:rsidR="00836B90" w:rsidRDefault="00836B90">
      <w:pPr>
        <w:jc w:val="center"/>
        <w:rPr>
          <w:spacing w:val="1"/>
          <w:sz w:val="28"/>
          <w:szCs w:val="28"/>
        </w:rPr>
        <w:sectPr w:rsidR="00836B90">
          <w:pgSz w:w="16838" w:h="11906" w:orient="landscape"/>
          <w:pgMar w:top="1701" w:right="1134" w:bottom="850" w:left="1134" w:header="708" w:footer="0" w:gutter="0"/>
          <w:cols w:space="0"/>
          <w:titlePg/>
          <w:docGrid w:linePitch="360"/>
        </w:sect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lastRenderedPageBreak/>
        <w:t>Приложение № 2</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D558F">
        <w:rPr>
          <w:spacing w:val="1"/>
        </w:rPr>
        <w:t>Гагаринского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836B90" w:rsidRPr="0069319A" w:rsidTr="00F00B38">
        <w:tc>
          <w:tcPr>
            <w:tcW w:w="56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 xml:space="preserve">№ </w:t>
            </w:r>
            <w:proofErr w:type="gramStart"/>
            <w:r w:rsidRPr="0069319A">
              <w:rPr>
                <w:sz w:val="20"/>
                <w:szCs w:val="20"/>
                <w:lang w:eastAsia="en-US"/>
              </w:rPr>
              <w:t>п</w:t>
            </w:r>
            <w:proofErr w:type="gramEnd"/>
            <w:r w:rsidRPr="0069319A">
              <w:rPr>
                <w:sz w:val="20"/>
                <w:szCs w:val="20"/>
                <w:lang w:eastAsia="en-US"/>
              </w:rPr>
              <w:t>/п</w:t>
            </w:r>
          </w:p>
        </w:tc>
        <w:tc>
          <w:tcPr>
            <w:tcW w:w="163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Тема аудиторского мероприятия</w:t>
            </w:r>
          </w:p>
        </w:tc>
        <w:tc>
          <w:tcPr>
            <w:tcW w:w="159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Объекты внутреннего финансового аудита</w:t>
            </w:r>
          </w:p>
        </w:tc>
        <w:tc>
          <w:tcPr>
            <w:tcW w:w="1434"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Субъект бюджетной процедуры</w:t>
            </w:r>
          </w:p>
        </w:tc>
        <w:tc>
          <w:tcPr>
            <w:tcW w:w="141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Проверяемый период</w:t>
            </w:r>
          </w:p>
        </w:tc>
        <w:tc>
          <w:tcPr>
            <w:tcW w:w="156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Месяц начала проведения аудиторского мероприятия</w:t>
            </w:r>
          </w:p>
        </w:tc>
        <w:tc>
          <w:tcPr>
            <w:tcW w:w="1536"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Ответственные исполнители</w:t>
            </w: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69319A" w:rsidRDefault="0069319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1F527A" w:rsidRDefault="001F527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Default="00836B90">
      <w:pPr>
        <w:shd w:val="clear" w:color="auto" w:fill="FFFFFF"/>
        <w:spacing w:after="0" w:line="240" w:lineRule="auto"/>
        <w:ind w:left="6720"/>
        <w:jc w:val="both"/>
        <w:textAlignment w:val="baseline"/>
        <w:rPr>
          <w:spacing w:val="1"/>
          <w:szCs w:val="17"/>
        </w:rPr>
      </w:pP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lastRenderedPageBreak/>
        <w:t>Приложение № 3</w:t>
      </w: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8D558F">
        <w:rPr>
          <w:spacing w:val="1"/>
          <w:szCs w:val="17"/>
        </w:rPr>
        <w:t>Гагаринского</w:t>
      </w:r>
      <w:r w:rsidRPr="00D148A8">
        <w:rPr>
          <w:spacing w:val="1"/>
          <w:szCs w:val="17"/>
        </w:rPr>
        <w:t xml:space="preserve"> </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b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w:t>
      </w:r>
      <w:proofErr w:type="gramStart"/>
      <w:r>
        <w:t>проверяющим</w:t>
      </w:r>
      <w:proofErr w:type="gramEnd"/>
      <w:r>
        <w:t>)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Pr="001F527A" w:rsidRDefault="00836B90">
      <w:pPr>
        <w:pBdr>
          <w:bottom w:val="single" w:sz="12" w:space="1" w:color="auto"/>
        </w:pBdr>
        <w:tabs>
          <w:tab w:val="left" w:pos="3777"/>
        </w:tabs>
        <w:spacing w:after="0" w:line="240" w:lineRule="auto"/>
        <w:jc w:val="both"/>
      </w:pPr>
      <w:r>
        <w:t xml:space="preserve">Общие </w:t>
      </w:r>
      <w:r w:rsidRPr="001F527A">
        <w:t>сведения об объекте внутреннего финансового аудита</w:t>
      </w:r>
    </w:p>
    <w:p w:rsidR="00836B90" w:rsidRPr="001F527A" w:rsidRDefault="00836B90">
      <w:pPr>
        <w:tabs>
          <w:tab w:val="left" w:pos="3777"/>
        </w:tabs>
        <w:spacing w:after="0" w:line="240" w:lineRule="auto"/>
        <w:jc w:val="both"/>
      </w:pPr>
      <w:r w:rsidRPr="001F527A">
        <w:t>В ходе проведения аудиторского мероприятия установлено следующее:</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center"/>
        <w:rPr>
          <w:sz w:val="22"/>
        </w:rPr>
      </w:pPr>
      <w:proofErr w:type="gramStart"/>
      <w:r w:rsidRPr="001F527A">
        <w:rPr>
          <w:sz w:val="22"/>
        </w:rPr>
        <w:t>(описание выявленных нарушений и (или) недостатков</w:t>
      </w:r>
      <w:proofErr w:type="gramEnd"/>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pBdr>
          <w:bottom w:val="single" w:sz="12" w:space="1" w:color="auto"/>
        </w:pBdr>
        <w:tabs>
          <w:tab w:val="left" w:pos="3777"/>
        </w:tabs>
        <w:spacing w:after="0" w:line="240" w:lineRule="auto"/>
        <w:jc w:val="both"/>
      </w:pPr>
      <w:r w:rsidRPr="001F527A">
        <w:t xml:space="preserve">Выводы: </w:t>
      </w:r>
    </w:p>
    <w:p w:rsidR="00836B90" w:rsidRPr="001F527A" w:rsidRDefault="00836B90">
      <w:pPr>
        <w:tabs>
          <w:tab w:val="left" w:pos="3777"/>
        </w:tabs>
        <w:spacing w:after="0" w:line="240" w:lineRule="auto"/>
        <w:jc w:val="both"/>
      </w:pPr>
      <w:r w:rsidRPr="001F527A">
        <w:t xml:space="preserve">Предложения и рекомендации: </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836B90" w:rsidRDefault="00836B90">
      <w:pPr>
        <w:tabs>
          <w:tab w:val="left" w:pos="6780"/>
        </w:tabs>
        <w:spacing w:after="0" w:line="240" w:lineRule="auto"/>
        <w:ind w:right="-397"/>
        <w:jc w:val="both"/>
      </w:pPr>
      <w:r>
        <w:t>группы (</w:t>
      </w:r>
      <w:proofErr w:type="gramStart"/>
      <w:r>
        <w:t>проверяющий</w:t>
      </w:r>
      <w:proofErr w:type="gramEnd"/>
      <w:r>
        <w:t>)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Приложение № 4</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D558F">
        <w:rPr>
          <w:spacing w:val="1"/>
        </w:rPr>
        <w:t>Гагаринског</w:t>
      </w:r>
      <w:r w:rsidR="00AC4D48">
        <w:rPr>
          <w:spacing w:val="1"/>
        </w:rPr>
        <w:t>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 п\</w:t>
            </w:r>
            <w:proofErr w:type="gramStart"/>
            <w:r w:rsidRPr="0069319A">
              <w:rPr>
                <w:lang w:eastAsia="en-US"/>
              </w:rPr>
              <w:t>п</w:t>
            </w:r>
            <w:proofErr w:type="gramEnd"/>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Нарушение, недостаток (текст) с указанием номера страницы заключения</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Мероприятия по устранению нарушения, недостатка</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Срок устранения нарушения, недостатка</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Должностное лицо, ответственное за устранение нарушения, недостатка</w:t>
            </w:r>
          </w:p>
        </w:tc>
      </w:tr>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1</w:t>
            </w:r>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2</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3</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4</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5</w:t>
            </w:r>
          </w:p>
        </w:tc>
      </w:tr>
      <w:tr w:rsidR="00836B90" w:rsidRPr="0069319A" w:rsidTr="00F00B38">
        <w:tc>
          <w:tcPr>
            <w:tcW w:w="567" w:type="dxa"/>
          </w:tcPr>
          <w:p w:rsidR="00836B90" w:rsidRPr="0069319A" w:rsidRDefault="00836B90" w:rsidP="00F00B38">
            <w:pPr>
              <w:tabs>
                <w:tab w:val="left" w:pos="7064"/>
              </w:tabs>
              <w:spacing w:after="0" w:line="240" w:lineRule="auto"/>
              <w:rPr>
                <w:lang w:eastAsia="en-US"/>
              </w:rPr>
            </w:pPr>
          </w:p>
        </w:tc>
        <w:tc>
          <w:tcPr>
            <w:tcW w:w="3291" w:type="dxa"/>
          </w:tcPr>
          <w:p w:rsidR="00836B90" w:rsidRPr="0069319A" w:rsidRDefault="00836B90" w:rsidP="00F00B38">
            <w:pPr>
              <w:tabs>
                <w:tab w:val="left" w:pos="7064"/>
              </w:tabs>
              <w:spacing w:after="0" w:line="240" w:lineRule="auto"/>
              <w:rPr>
                <w:lang w:eastAsia="en-US"/>
              </w:rPr>
            </w:pPr>
          </w:p>
        </w:tc>
        <w:tc>
          <w:tcPr>
            <w:tcW w:w="2126" w:type="dxa"/>
          </w:tcPr>
          <w:p w:rsidR="00836B90" w:rsidRPr="0069319A" w:rsidRDefault="00836B90" w:rsidP="00F00B38">
            <w:pPr>
              <w:tabs>
                <w:tab w:val="left" w:pos="7064"/>
              </w:tabs>
              <w:spacing w:after="0" w:line="240" w:lineRule="auto"/>
              <w:rPr>
                <w:lang w:eastAsia="en-US"/>
              </w:rPr>
            </w:pPr>
          </w:p>
        </w:tc>
        <w:tc>
          <w:tcPr>
            <w:tcW w:w="1701" w:type="dxa"/>
          </w:tcPr>
          <w:p w:rsidR="00836B90" w:rsidRPr="0069319A" w:rsidRDefault="00836B90" w:rsidP="00F00B38">
            <w:pPr>
              <w:tabs>
                <w:tab w:val="left" w:pos="7064"/>
              </w:tabs>
              <w:spacing w:after="0" w:line="240" w:lineRule="auto"/>
              <w:rPr>
                <w:lang w:eastAsia="en-US"/>
              </w:rPr>
            </w:pPr>
          </w:p>
        </w:tc>
        <w:tc>
          <w:tcPr>
            <w:tcW w:w="1984" w:type="dxa"/>
          </w:tcPr>
          <w:p w:rsidR="00836B90" w:rsidRPr="0069319A" w:rsidRDefault="00836B90" w:rsidP="00F00B38">
            <w:pPr>
              <w:tabs>
                <w:tab w:val="left" w:pos="7064"/>
              </w:tabs>
              <w:spacing w:after="0" w:line="240" w:lineRule="auto"/>
              <w:rPr>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8"/>
      <w:pgSz w:w="11906" w:h="16838"/>
      <w:pgMar w:top="1134" w:right="424"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B9" w:rsidRDefault="00112BB9">
      <w:pPr>
        <w:spacing w:after="0" w:line="240" w:lineRule="auto"/>
      </w:pPr>
      <w:r>
        <w:separator/>
      </w:r>
    </w:p>
  </w:endnote>
  <w:endnote w:type="continuationSeparator" w:id="0">
    <w:p w:rsidR="00112BB9" w:rsidRDefault="0011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90" w:rsidRDefault="000A6C49">
    <w:pPr>
      <w:pStyle w:val="af0"/>
      <w:jc w:val="right"/>
    </w:pPr>
    <w:r>
      <w:fldChar w:fldCharType="begin"/>
    </w:r>
    <w:r>
      <w:instrText>PAGE   \* MERGEFORMAT</w:instrText>
    </w:r>
    <w:r>
      <w:fldChar w:fldCharType="separate"/>
    </w:r>
    <w:r w:rsidR="00AE42B5">
      <w:rPr>
        <w:noProof/>
      </w:rPr>
      <w:t>22</w:t>
    </w:r>
    <w:r>
      <w:rPr>
        <w:noProof/>
      </w:rPr>
      <w:fldChar w:fldCharType="end"/>
    </w:r>
  </w:p>
  <w:p w:rsidR="00836B90" w:rsidRDefault="00836B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B9" w:rsidRDefault="00112BB9">
      <w:pPr>
        <w:spacing w:after="0" w:line="240" w:lineRule="auto"/>
      </w:pPr>
      <w:r>
        <w:separator/>
      </w:r>
    </w:p>
  </w:footnote>
  <w:footnote w:type="continuationSeparator" w:id="0">
    <w:p w:rsidR="00112BB9" w:rsidRDefault="0011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16</cp:revision>
  <cp:lastPrinted>2020-11-10T11:38:00Z</cp:lastPrinted>
  <dcterms:created xsi:type="dcterms:W3CDTF">2021-01-27T19:10:00Z</dcterms:created>
  <dcterms:modified xsi:type="dcterms:W3CDTF">2021-01-29T07:19:00Z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